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D5B61" w14:textId="77777777" w:rsidR="009B2695" w:rsidRPr="009B2695" w:rsidRDefault="009B2695" w:rsidP="009B2695">
      <w:pPr>
        <w:rPr>
          <w:rFonts w:eastAsia="Calibri" w:cs="Times New Roman"/>
          <w:u w:val="single"/>
        </w:rPr>
      </w:pPr>
    </w:p>
    <w:tbl>
      <w:tblPr>
        <w:tblpPr w:leftFromText="180" w:rightFromText="180" w:vertAnchor="text" w:tblpX="192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4135"/>
        <w:gridCol w:w="4819"/>
      </w:tblGrid>
      <w:tr w:rsidR="009B2695" w:rsidRPr="009B2695" w14:paraId="0EA2C9CF" w14:textId="77777777" w:rsidTr="007C22EB">
        <w:trPr>
          <w:trHeight w:val="598"/>
        </w:trPr>
        <w:tc>
          <w:tcPr>
            <w:tcW w:w="680" w:type="dxa"/>
            <w:shd w:val="clear" w:color="auto" w:fill="FFFFFF"/>
            <w:vAlign w:val="center"/>
          </w:tcPr>
          <w:p w14:paraId="3E5769E9" w14:textId="77777777" w:rsidR="009B2695" w:rsidRPr="009B2695" w:rsidRDefault="009B2695" w:rsidP="007C22EB">
            <w:pPr>
              <w:ind w:left="113"/>
              <w:rPr>
                <w:rFonts w:eastAsia="Calibri" w:cs="Times New Roman"/>
                <w:b/>
              </w:rPr>
            </w:pPr>
            <w:r w:rsidRPr="009B2695">
              <w:rPr>
                <w:rFonts w:eastAsia="Calibri" w:cs="Times New Roman"/>
                <w:b/>
              </w:rPr>
              <w:t>Eil.</w:t>
            </w:r>
          </w:p>
          <w:p w14:paraId="3A86E909" w14:textId="77777777" w:rsidR="009B2695" w:rsidRPr="009B2695" w:rsidRDefault="009B2695" w:rsidP="007C22EB">
            <w:pPr>
              <w:ind w:left="113"/>
              <w:rPr>
                <w:rFonts w:eastAsia="Calibri" w:cs="Times New Roman"/>
                <w:b/>
              </w:rPr>
            </w:pPr>
            <w:r w:rsidRPr="009B2695">
              <w:rPr>
                <w:rFonts w:eastAsia="Calibri" w:cs="Times New Roman"/>
                <w:b/>
              </w:rPr>
              <w:t>Nr.</w:t>
            </w:r>
          </w:p>
        </w:tc>
        <w:tc>
          <w:tcPr>
            <w:tcW w:w="4135" w:type="dxa"/>
            <w:shd w:val="clear" w:color="auto" w:fill="FFFFFF"/>
            <w:vAlign w:val="center"/>
          </w:tcPr>
          <w:p w14:paraId="64A6CC7E" w14:textId="77777777" w:rsidR="009B2695" w:rsidRPr="009B2695" w:rsidRDefault="009B2695" w:rsidP="007C22EB">
            <w:pPr>
              <w:ind w:left="113"/>
              <w:rPr>
                <w:rFonts w:eastAsia="Calibri" w:cs="Times New Roman"/>
                <w:b/>
              </w:rPr>
            </w:pPr>
            <w:r w:rsidRPr="009B2695">
              <w:rPr>
                <w:rFonts w:eastAsia="Calibri" w:cs="Times New Roman"/>
                <w:b/>
              </w:rPr>
              <w:t>Šviestuvo parametras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DFFEFE3" w14:textId="77777777" w:rsidR="009B2695" w:rsidRPr="009B2695" w:rsidRDefault="009B2695" w:rsidP="007C22EB">
            <w:pPr>
              <w:ind w:left="113"/>
              <w:rPr>
                <w:rFonts w:eastAsia="Calibri" w:cs="Times New Roman"/>
                <w:b/>
              </w:rPr>
            </w:pPr>
            <w:r w:rsidRPr="009B2695">
              <w:rPr>
                <w:rFonts w:eastAsia="Calibri" w:cs="Times New Roman"/>
                <w:b/>
              </w:rPr>
              <w:t>Būtinas rodiklis</w:t>
            </w:r>
          </w:p>
        </w:tc>
      </w:tr>
      <w:tr w:rsidR="009B2695" w:rsidRPr="009B2695" w14:paraId="27492B72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1624C4DF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1BA15B1B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Maitinimo įtampa</w:t>
            </w:r>
          </w:p>
        </w:tc>
        <w:tc>
          <w:tcPr>
            <w:tcW w:w="4819" w:type="dxa"/>
            <w:shd w:val="clear" w:color="auto" w:fill="FFFFFF"/>
          </w:tcPr>
          <w:p w14:paraId="1830E836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230 VAC</w:t>
            </w:r>
          </w:p>
        </w:tc>
      </w:tr>
      <w:tr w:rsidR="009B2695" w:rsidRPr="009B2695" w14:paraId="32DCF837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3D14875C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5799B12F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Maitinimo įtampos leistinas nuokrypis</w:t>
            </w:r>
          </w:p>
        </w:tc>
        <w:tc>
          <w:tcPr>
            <w:tcW w:w="4819" w:type="dxa"/>
            <w:shd w:val="clear" w:color="auto" w:fill="FFFFFF"/>
          </w:tcPr>
          <w:p w14:paraId="3E2F2CF8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Ne mažiau +/-10%</w:t>
            </w:r>
          </w:p>
        </w:tc>
      </w:tr>
      <w:tr w:rsidR="009B2695" w:rsidRPr="009B2695" w14:paraId="4463C2D0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622B32D1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2E4957CA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Maitinimo įtampos dažnis</w:t>
            </w:r>
          </w:p>
        </w:tc>
        <w:tc>
          <w:tcPr>
            <w:tcW w:w="4819" w:type="dxa"/>
            <w:shd w:val="clear" w:color="auto" w:fill="FFFFFF"/>
          </w:tcPr>
          <w:p w14:paraId="4EB9AE62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50 Hz</w:t>
            </w:r>
          </w:p>
        </w:tc>
      </w:tr>
      <w:tr w:rsidR="009B2695" w:rsidRPr="009B2695" w14:paraId="00AFEC90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42357DE7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192BE6AE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Galios faktorius (neprigesinus)</w:t>
            </w:r>
          </w:p>
        </w:tc>
        <w:tc>
          <w:tcPr>
            <w:tcW w:w="4819" w:type="dxa"/>
            <w:shd w:val="clear" w:color="auto" w:fill="FFFFFF"/>
          </w:tcPr>
          <w:p w14:paraId="443D59EF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Ne mažesnis nei 0,95</w:t>
            </w:r>
          </w:p>
        </w:tc>
      </w:tr>
      <w:tr w:rsidR="009B2695" w:rsidRPr="009B2695" w14:paraId="21A5937B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7812EF68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0977513C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Elektrosaugos klasė</w:t>
            </w:r>
          </w:p>
        </w:tc>
        <w:tc>
          <w:tcPr>
            <w:tcW w:w="4819" w:type="dxa"/>
            <w:shd w:val="clear" w:color="auto" w:fill="FFFFFF"/>
          </w:tcPr>
          <w:p w14:paraId="417431C1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II pagal EN 60598</w:t>
            </w:r>
          </w:p>
        </w:tc>
      </w:tr>
      <w:tr w:rsidR="009B2695" w:rsidRPr="009B2695" w14:paraId="1D87577D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68178B68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6A4BF7AF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Šviestuvo šviesinis efektyvumas </w:t>
            </w:r>
          </w:p>
        </w:tc>
        <w:tc>
          <w:tcPr>
            <w:tcW w:w="4819" w:type="dxa"/>
            <w:shd w:val="clear" w:color="auto" w:fill="FFFFFF"/>
          </w:tcPr>
          <w:p w14:paraId="7F69EBC8" w14:textId="37F651B6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ne mažiau 1</w:t>
            </w:r>
            <w:r w:rsidR="00AB3382">
              <w:rPr>
                <w:rFonts w:eastAsia="Calibri" w:cs="Times New Roman"/>
              </w:rPr>
              <w:t>4</w:t>
            </w:r>
            <w:r w:rsidRPr="009B2695">
              <w:rPr>
                <w:rFonts w:eastAsia="Calibri" w:cs="Times New Roman"/>
              </w:rPr>
              <w:t>0 lm/W</w:t>
            </w:r>
          </w:p>
        </w:tc>
      </w:tr>
      <w:tr w:rsidR="009B2695" w:rsidRPr="009B2695" w14:paraId="1F26B89D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6C340563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22BFA2E6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Šviesos šaltinio spalvų atkūrimo indeksas</w:t>
            </w:r>
          </w:p>
        </w:tc>
        <w:tc>
          <w:tcPr>
            <w:tcW w:w="4819" w:type="dxa"/>
            <w:shd w:val="clear" w:color="auto" w:fill="FFFFFF"/>
          </w:tcPr>
          <w:p w14:paraId="2CD915D1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ne mažiau kaip 70 (CRI&gt;70)</w:t>
            </w:r>
          </w:p>
        </w:tc>
      </w:tr>
      <w:tr w:rsidR="009B2695" w:rsidRPr="009B2695" w14:paraId="0EE20875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2B850FAA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2AB6C22D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Spalvos temperatūra gatvių apšvietimui</w:t>
            </w:r>
          </w:p>
        </w:tc>
        <w:tc>
          <w:tcPr>
            <w:tcW w:w="4819" w:type="dxa"/>
            <w:shd w:val="clear" w:color="auto" w:fill="FFFFFF"/>
          </w:tcPr>
          <w:p w14:paraId="404414E2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4000K </w:t>
            </w:r>
          </w:p>
        </w:tc>
      </w:tr>
      <w:tr w:rsidR="009B2695" w:rsidRPr="009B2695" w14:paraId="5F438917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431DB45D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659D3677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Šviestuvo pritemdymo/valdymo galimybė</w:t>
            </w:r>
          </w:p>
        </w:tc>
        <w:tc>
          <w:tcPr>
            <w:tcW w:w="4819" w:type="dxa"/>
            <w:shd w:val="clear" w:color="auto" w:fill="FFFFFF"/>
          </w:tcPr>
          <w:p w14:paraId="79F4F4F7" w14:textId="1F964BF4" w:rsidR="009B2695" w:rsidRPr="00E84018" w:rsidRDefault="00E3446F" w:rsidP="00E84018">
            <w:pPr>
              <w:pStyle w:val="Sraopastraipa"/>
              <w:numPr>
                <w:ilvl w:val="0"/>
                <w:numId w:val="2"/>
              </w:numPr>
              <w:rPr>
                <w:rFonts w:eastAsia="Calibri" w:cs="Times New Roman"/>
              </w:rPr>
            </w:pPr>
            <w:r w:rsidRPr="00E84018">
              <w:rPr>
                <w:rFonts w:eastAsia="Calibri" w:cs="Times New Roman"/>
              </w:rPr>
              <w:t>integruotas šviestuvo tolygaus  prigesinimo modulis valdomas  DALI</w:t>
            </w:r>
            <w:r w:rsidR="00760185" w:rsidRPr="00E84018">
              <w:rPr>
                <w:rFonts w:eastAsia="Calibri" w:cs="Times New Roman"/>
              </w:rPr>
              <w:t xml:space="preserve">/DALI2 </w:t>
            </w:r>
            <w:r w:rsidRPr="00E84018">
              <w:rPr>
                <w:rFonts w:eastAsia="Calibri" w:cs="Times New Roman"/>
              </w:rPr>
              <w:t>protokolu.</w:t>
            </w:r>
          </w:p>
          <w:p w14:paraId="0F2CE3BB" w14:textId="77777777" w:rsidR="00E84018" w:rsidRPr="00E84018" w:rsidRDefault="00E84018" w:rsidP="00E84018">
            <w:pPr>
              <w:pStyle w:val="Sraopastraipa"/>
              <w:numPr>
                <w:ilvl w:val="0"/>
                <w:numId w:val="2"/>
              </w:numPr>
              <w:rPr>
                <w:rFonts w:eastAsia="Calibri" w:cs="Times New Roman"/>
              </w:rPr>
            </w:pPr>
            <w:r w:rsidRPr="00E84018">
              <w:rPr>
                <w:rFonts w:eastAsia="Calibri" w:cs="Times New Roman"/>
              </w:rPr>
              <w:t>Integruotas autonominis šviestuvo  pritemdymo modulis, dirbantis sekančiu apšviestumo  režimu:</w:t>
            </w:r>
          </w:p>
          <w:p w14:paraId="482926AB" w14:textId="77777777" w:rsidR="00E84018" w:rsidRPr="00E84018" w:rsidRDefault="00E84018" w:rsidP="00E84018">
            <w:pPr>
              <w:ind w:left="113"/>
              <w:rPr>
                <w:rFonts w:eastAsia="Calibri" w:cs="Times New Roman"/>
              </w:rPr>
            </w:pPr>
            <w:r w:rsidRPr="00E84018">
              <w:rPr>
                <w:rFonts w:eastAsia="Calibri" w:cs="Times New Roman"/>
              </w:rPr>
              <w:t xml:space="preserve">nuo įsijungimo iki 23:00h – 100% </w:t>
            </w:r>
          </w:p>
          <w:p w14:paraId="6DBD4EA0" w14:textId="4FC61638" w:rsidR="00E84018" w:rsidRPr="00E84018" w:rsidRDefault="00E84018" w:rsidP="00E84018">
            <w:pPr>
              <w:ind w:left="113"/>
              <w:rPr>
                <w:rFonts w:eastAsia="Calibri" w:cs="Times New Roman"/>
              </w:rPr>
            </w:pPr>
            <w:r w:rsidRPr="00E84018">
              <w:rPr>
                <w:rFonts w:eastAsia="Calibri" w:cs="Times New Roman"/>
              </w:rPr>
              <w:t xml:space="preserve">nuo 23:00 iki </w:t>
            </w:r>
            <w:r>
              <w:rPr>
                <w:rFonts w:eastAsia="Calibri" w:cs="Times New Roman"/>
              </w:rPr>
              <w:t>5</w:t>
            </w:r>
            <w:r w:rsidRPr="00E84018">
              <w:rPr>
                <w:rFonts w:eastAsia="Calibri" w:cs="Times New Roman"/>
              </w:rPr>
              <w:t xml:space="preserve">:00 – 50% </w:t>
            </w:r>
          </w:p>
          <w:p w14:paraId="652533DD" w14:textId="62C4D441" w:rsidR="00E84018" w:rsidRPr="00E84018" w:rsidRDefault="00E84018" w:rsidP="00E84018">
            <w:pPr>
              <w:ind w:left="113"/>
              <w:rPr>
                <w:rFonts w:eastAsia="Calibri" w:cs="Times New Roman"/>
              </w:rPr>
            </w:pPr>
            <w:r w:rsidRPr="00E84018">
              <w:rPr>
                <w:rFonts w:eastAsia="Calibri" w:cs="Times New Roman"/>
              </w:rPr>
              <w:t xml:space="preserve">nuo </w:t>
            </w:r>
            <w:r>
              <w:rPr>
                <w:rFonts w:eastAsia="Calibri" w:cs="Times New Roman"/>
              </w:rPr>
              <w:t>5</w:t>
            </w:r>
            <w:r w:rsidRPr="00E84018">
              <w:rPr>
                <w:rFonts w:eastAsia="Calibri" w:cs="Times New Roman"/>
              </w:rPr>
              <w:t>:00 iki išsijungimo – 100%</w:t>
            </w:r>
          </w:p>
        </w:tc>
      </w:tr>
      <w:tr w:rsidR="009B2695" w:rsidRPr="009B2695" w14:paraId="7424DBE5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3CEF0F19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3A230075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Šviesos srauto stabilizavimas</w:t>
            </w:r>
          </w:p>
        </w:tc>
        <w:tc>
          <w:tcPr>
            <w:tcW w:w="4819" w:type="dxa"/>
            <w:shd w:val="clear" w:color="auto" w:fill="FFFFFF"/>
          </w:tcPr>
          <w:p w14:paraId="6BD56231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Šviestuvas turi turėti šviesos srauto stabilizavimo funkciją (CLO)</w:t>
            </w:r>
          </w:p>
        </w:tc>
      </w:tr>
      <w:tr w:rsidR="009B2695" w:rsidRPr="009B2695" w14:paraId="4ED8C0D9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4514E830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4E1C46FD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Šviestuvo korpusas </w:t>
            </w:r>
          </w:p>
        </w:tc>
        <w:tc>
          <w:tcPr>
            <w:tcW w:w="4819" w:type="dxa"/>
            <w:shd w:val="clear" w:color="auto" w:fill="FFFFFF"/>
          </w:tcPr>
          <w:p w14:paraId="2DDC31AD" w14:textId="57FEDEF7" w:rsidR="009B2695" w:rsidRPr="009B2695" w:rsidRDefault="009B2695" w:rsidP="007C22EB">
            <w:pPr>
              <w:widowControl w:val="0"/>
              <w:shd w:val="clear" w:color="auto" w:fill="FFFFFF"/>
              <w:ind w:left="113" w:right="91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9B2695">
              <w:rPr>
                <w:rFonts w:eastAsia="Times New Roman" w:cs="Times New Roman"/>
                <w:szCs w:val="24"/>
                <w:lang w:eastAsia="lt-LT"/>
              </w:rPr>
              <w:t>Šviestuvo korpusas su aušinimo elementu turi būti pagamintas iš aliuminio, polikarbonato ar plieno su polimeriniu padengimu.</w:t>
            </w:r>
          </w:p>
          <w:p w14:paraId="736A848C" w14:textId="77777777" w:rsidR="009B2695" w:rsidRPr="009B2695" w:rsidRDefault="009B2695" w:rsidP="007C22EB">
            <w:pPr>
              <w:widowControl w:val="0"/>
              <w:shd w:val="clear" w:color="auto" w:fill="FFFFFF"/>
              <w:ind w:left="113" w:right="91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9B2695">
              <w:rPr>
                <w:rFonts w:eastAsia="Times New Roman" w:cs="Times New Roman"/>
                <w:szCs w:val="24"/>
                <w:lang w:eastAsia="lt-LT"/>
              </w:rPr>
              <w:t>Nėra leidžiama įrengti priverstinio aušinimo elementų (pvz. ventiliatorių).</w:t>
            </w:r>
          </w:p>
          <w:p w14:paraId="586BF2BB" w14:textId="77777777" w:rsidR="009B2695" w:rsidRPr="009B2695" w:rsidRDefault="009B2695" w:rsidP="007C22EB">
            <w:pPr>
              <w:widowControl w:val="0"/>
              <w:shd w:val="clear" w:color="auto" w:fill="FFFFFF"/>
              <w:ind w:left="113" w:right="91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9B2695">
              <w:rPr>
                <w:rFonts w:eastAsia="Times New Roman" w:cs="Times New Roman"/>
                <w:szCs w:val="24"/>
                <w:lang w:eastAsia="lt-LT"/>
              </w:rPr>
              <w:t>Šviestuvai turi būti apsaugoti nuo elektrocheminės korozijos.</w:t>
            </w:r>
          </w:p>
          <w:p w14:paraId="404BE426" w14:textId="77777777" w:rsidR="009B2695" w:rsidRPr="009B2695" w:rsidRDefault="009B2695" w:rsidP="007C22EB">
            <w:pPr>
              <w:widowControl w:val="0"/>
              <w:shd w:val="clear" w:color="auto" w:fill="FFFFFF"/>
              <w:ind w:left="113" w:right="91"/>
              <w:jc w:val="both"/>
              <w:rPr>
                <w:rFonts w:eastAsia="Times New Roman" w:cs="Times New Roman"/>
                <w:szCs w:val="24"/>
                <w:lang w:eastAsia="lt-LT"/>
              </w:rPr>
            </w:pPr>
            <w:r w:rsidRPr="009B2695">
              <w:rPr>
                <w:rFonts w:eastAsia="Times New Roman" w:cs="Times New Roman"/>
                <w:szCs w:val="24"/>
                <w:lang w:eastAsia="lt-LT"/>
              </w:rPr>
              <w:t>Šviestuvo stiklas turi būti toks, kad užtikrintų saugų eksploatavimą, nekeltų pavojaus žmonių sveikatai ir gyvybei bei kitam turtui jo sudužimo atveju.</w:t>
            </w:r>
          </w:p>
          <w:p w14:paraId="3A7C5514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Times New Roman" w:cs="Times New Roman"/>
                <w:szCs w:val="24"/>
              </w:rPr>
              <w:t>Šviestuvo paviršius turi būti lygus, be išorinių briaunų aušinimui.</w:t>
            </w:r>
          </w:p>
        </w:tc>
      </w:tr>
      <w:tr w:rsidR="00E3446F" w:rsidRPr="009B2695" w14:paraId="41E4E21A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6DF16263" w14:textId="77777777" w:rsidR="00E3446F" w:rsidRPr="009B2695" w:rsidRDefault="00E3446F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60585B1C" w14:textId="588B6D96" w:rsidR="00E3446F" w:rsidRPr="009B2695" w:rsidRDefault="00E3446F" w:rsidP="007C22EB">
            <w:pPr>
              <w:ind w:left="113"/>
              <w:rPr>
                <w:rFonts w:eastAsia="Calibri" w:cs="Times New Roman"/>
              </w:rPr>
            </w:pPr>
            <w:r w:rsidRPr="00E3446F">
              <w:rPr>
                <w:rFonts w:eastAsia="Calibri" w:cs="Times New Roman"/>
              </w:rPr>
              <w:t>Šviestuvo išorinis lizdas</w:t>
            </w:r>
          </w:p>
        </w:tc>
        <w:tc>
          <w:tcPr>
            <w:tcW w:w="4819" w:type="dxa"/>
            <w:shd w:val="clear" w:color="auto" w:fill="FFFFFF"/>
          </w:tcPr>
          <w:p w14:paraId="38AC37C9" w14:textId="2FB47614" w:rsidR="00E3446F" w:rsidRPr="009B2695" w:rsidRDefault="00E3446F" w:rsidP="007C22EB">
            <w:pPr>
              <w:ind w:left="113"/>
              <w:jc w:val="both"/>
              <w:rPr>
                <w:rFonts w:eastAsia="Calibri" w:cs="Times New Roman"/>
              </w:rPr>
            </w:pPr>
            <w:r w:rsidRPr="00E3446F">
              <w:rPr>
                <w:rFonts w:eastAsia="Calibri" w:cs="Times New Roman"/>
              </w:rPr>
              <w:t xml:space="preserve">Šviestuvo korpuso viršuje sumontuotas standartizuotas „plug&amp;play“ 7 kontaktų NEMA lizdas </w:t>
            </w:r>
            <w:r w:rsidR="003A53BA">
              <w:rPr>
                <w:rFonts w:eastAsia="Calibri" w:cs="Times New Roman"/>
              </w:rPr>
              <w:t xml:space="preserve">šviestuvo </w:t>
            </w:r>
            <w:r w:rsidRPr="00E3446F">
              <w:rPr>
                <w:rFonts w:eastAsia="Calibri" w:cs="Times New Roman"/>
              </w:rPr>
              <w:t>valdikliui įrengti, uždengtas (užtikrinant ne blogiau IP66 pagal ENEC reikalavimus)</w:t>
            </w:r>
          </w:p>
        </w:tc>
      </w:tr>
      <w:tr w:rsidR="009B2695" w:rsidRPr="009B2695" w14:paraId="5F93B2D2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6C6B23D7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654AD53B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Apsauga nuo aplinkos poveikio</w:t>
            </w:r>
          </w:p>
        </w:tc>
        <w:tc>
          <w:tcPr>
            <w:tcW w:w="4819" w:type="dxa"/>
            <w:shd w:val="clear" w:color="auto" w:fill="FFFFFF"/>
          </w:tcPr>
          <w:p w14:paraId="02E32875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ne blogiau IP66 </w:t>
            </w:r>
          </w:p>
        </w:tc>
      </w:tr>
      <w:tr w:rsidR="009B2695" w:rsidRPr="009B2695" w14:paraId="7141A0B2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40400379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72D219FD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Apsauga nuo smūgių</w:t>
            </w:r>
          </w:p>
        </w:tc>
        <w:tc>
          <w:tcPr>
            <w:tcW w:w="4819" w:type="dxa"/>
            <w:shd w:val="clear" w:color="auto" w:fill="FFFFFF"/>
          </w:tcPr>
          <w:p w14:paraId="013BE15F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ne blogiau  IK08 </w:t>
            </w:r>
            <w:r w:rsidRPr="009B2695">
              <w:rPr>
                <w:rFonts w:eastAsia="Calibri" w:cs="Times New Roman"/>
                <w:szCs w:val="24"/>
              </w:rPr>
              <w:t xml:space="preserve"> </w:t>
            </w:r>
          </w:p>
        </w:tc>
      </w:tr>
      <w:tr w:rsidR="009B2695" w:rsidRPr="009B2695" w14:paraId="7100EEC3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7DBECCCA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1BC35DFE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 xml:space="preserve">Šviestuvo eksploatacijos laikas </w:t>
            </w:r>
          </w:p>
        </w:tc>
        <w:tc>
          <w:tcPr>
            <w:tcW w:w="4819" w:type="dxa"/>
            <w:shd w:val="clear" w:color="auto" w:fill="FFFFFF"/>
          </w:tcPr>
          <w:p w14:paraId="30F98F73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≥ 100.000 valandų</w:t>
            </w:r>
            <w:r w:rsidRPr="009B2695">
              <w:rPr>
                <w:rFonts w:eastAsia="Calibri" w:cs="Times New Roman"/>
                <w:b/>
                <w:bCs/>
              </w:rPr>
              <w:t xml:space="preserve"> </w:t>
            </w:r>
          </w:p>
        </w:tc>
      </w:tr>
      <w:tr w:rsidR="009B2695" w:rsidRPr="009B2695" w14:paraId="7EE81546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4BD4B3B0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39FE42BA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Šviesos srauto nusėdimas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A52A09A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L90 B10</w:t>
            </w:r>
          </w:p>
        </w:tc>
      </w:tr>
      <w:tr w:rsidR="009B2695" w:rsidRPr="009B2695" w14:paraId="0254637B" w14:textId="77777777" w:rsidTr="007C22EB">
        <w:trPr>
          <w:trHeight w:val="266"/>
        </w:trPr>
        <w:tc>
          <w:tcPr>
            <w:tcW w:w="680" w:type="dxa"/>
            <w:shd w:val="clear" w:color="auto" w:fill="FFFFFF"/>
            <w:vAlign w:val="center"/>
          </w:tcPr>
          <w:p w14:paraId="28851CC3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15AD21E9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Darbinė aplinkos temperatūra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DFA9C8C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-30°C iki +40°C</w:t>
            </w:r>
          </w:p>
        </w:tc>
      </w:tr>
      <w:tr w:rsidR="009B2695" w:rsidRPr="009B2695" w14:paraId="2963C43A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7A791722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12796F10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Apsauga nuo elektrostatinės iškrovos ir viršįtampių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7A67F05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≥10 kV</w:t>
            </w:r>
          </w:p>
        </w:tc>
      </w:tr>
      <w:tr w:rsidR="009B2695" w:rsidRPr="009B2695" w14:paraId="494DA6CE" w14:textId="77777777" w:rsidTr="007C22EB">
        <w:trPr>
          <w:trHeight w:val="345"/>
        </w:trPr>
        <w:tc>
          <w:tcPr>
            <w:tcW w:w="680" w:type="dxa"/>
            <w:shd w:val="clear" w:color="auto" w:fill="FFFFFF"/>
            <w:vAlign w:val="center"/>
          </w:tcPr>
          <w:p w14:paraId="736B9DA3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028B7BBE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Šviestuvų sertifikatai/standartai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50343D1" w14:textId="56484704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CE, RoHS, ENEC arba ENEC+, EN 60598-1,</w:t>
            </w:r>
            <w:r w:rsidR="00760185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</w:rPr>
              <w:t>EN 60598-2-3,</w:t>
            </w:r>
            <w:r w:rsidR="00760185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  <w:szCs w:val="24"/>
              </w:rPr>
              <w:t>EN 61347-2-13,</w:t>
            </w:r>
            <w:r w:rsidR="00760185">
              <w:rPr>
                <w:rFonts w:eastAsia="Calibri" w:cs="Times New Roman"/>
                <w:szCs w:val="24"/>
              </w:rPr>
              <w:t xml:space="preserve"> </w:t>
            </w:r>
            <w:r w:rsidRPr="009B2695">
              <w:rPr>
                <w:rFonts w:eastAsia="Calibri" w:cs="Times New Roman"/>
              </w:rPr>
              <w:t>EN 62471,</w:t>
            </w:r>
            <w:r w:rsidR="00760185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</w:rPr>
              <w:t>EN 55015,</w:t>
            </w:r>
            <w:r w:rsidR="00760185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</w:rPr>
              <w:t>EN 61547, EN 61000-3-2,</w:t>
            </w:r>
            <w:r w:rsidR="00760185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</w:rPr>
              <w:t>EN 61000-3-3,</w:t>
            </w:r>
            <w:r w:rsidR="007C22EB">
              <w:rPr>
                <w:rFonts w:eastAsia="Calibri" w:cs="Times New Roman"/>
              </w:rPr>
              <w:t xml:space="preserve"> </w:t>
            </w:r>
            <w:r w:rsidRPr="009B2695">
              <w:rPr>
                <w:rFonts w:eastAsia="Calibri" w:cs="Times New Roman"/>
              </w:rPr>
              <w:t>EN 62722-2-1 arba lygiaverčiai (taikoma visiems standartams)</w:t>
            </w:r>
          </w:p>
        </w:tc>
      </w:tr>
      <w:tr w:rsidR="00461B1D" w:rsidRPr="009B2695" w14:paraId="6A40FFC3" w14:textId="77777777" w:rsidTr="007C22EB">
        <w:trPr>
          <w:trHeight w:val="345"/>
        </w:trPr>
        <w:tc>
          <w:tcPr>
            <w:tcW w:w="680" w:type="dxa"/>
            <w:shd w:val="clear" w:color="auto" w:fill="FFFFFF"/>
            <w:vAlign w:val="center"/>
          </w:tcPr>
          <w:p w14:paraId="511519DC" w14:textId="77777777" w:rsidR="00461B1D" w:rsidRPr="009B2695" w:rsidRDefault="00461B1D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  <w:vAlign w:val="center"/>
          </w:tcPr>
          <w:p w14:paraId="318DEBB5" w14:textId="75A8B056" w:rsidR="00461B1D" w:rsidRPr="009B2695" w:rsidRDefault="00461B1D" w:rsidP="007C22EB">
            <w:pPr>
              <w:ind w:left="113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Aplinkosauginiai reikalavimai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C984FFA" w14:textId="1A1E2DC4" w:rsidR="00461B1D" w:rsidRPr="009B2695" w:rsidRDefault="00461B1D" w:rsidP="007C22EB">
            <w:pPr>
              <w:ind w:left="113"/>
              <w:rPr>
                <w:rFonts w:eastAsia="Calibri" w:cs="Times New Roman"/>
              </w:rPr>
            </w:pPr>
            <w:r w:rsidRPr="00461B1D">
              <w:rPr>
                <w:rFonts w:eastAsia="Calibri" w:cs="Times New Roman"/>
              </w:rPr>
              <w:t>LED (angl. Light Emitting Diode – šviesą skleidžiantis diodas) gatvių apšvietimo įranga turi būti 100 proc. (vienetais) LED."</w:t>
            </w:r>
          </w:p>
        </w:tc>
      </w:tr>
      <w:tr w:rsidR="009B2695" w:rsidRPr="009B2695" w14:paraId="36ED9534" w14:textId="77777777" w:rsidTr="007C22EB">
        <w:trPr>
          <w:trHeight w:val="259"/>
        </w:trPr>
        <w:tc>
          <w:tcPr>
            <w:tcW w:w="680" w:type="dxa"/>
            <w:shd w:val="clear" w:color="auto" w:fill="FFFFFF"/>
            <w:vAlign w:val="center"/>
          </w:tcPr>
          <w:p w14:paraId="43050CAB" w14:textId="77777777" w:rsidR="009B2695" w:rsidRPr="009B2695" w:rsidRDefault="009B2695" w:rsidP="007C22EB">
            <w:pPr>
              <w:numPr>
                <w:ilvl w:val="0"/>
                <w:numId w:val="1"/>
              </w:numPr>
              <w:contextualSpacing/>
              <w:rPr>
                <w:rFonts w:eastAsia="Calibri" w:cs="Times New Roman"/>
              </w:rPr>
            </w:pPr>
          </w:p>
        </w:tc>
        <w:tc>
          <w:tcPr>
            <w:tcW w:w="4135" w:type="dxa"/>
            <w:shd w:val="clear" w:color="auto" w:fill="FFFFFF"/>
          </w:tcPr>
          <w:p w14:paraId="33C3E22D" w14:textId="77777777" w:rsidR="009B2695" w:rsidRPr="009B2695" w:rsidRDefault="009B2695" w:rsidP="007C22EB">
            <w:pPr>
              <w:ind w:left="113"/>
              <w:rPr>
                <w:rFonts w:eastAsia="Calibri" w:cs="Times New Roman"/>
              </w:rPr>
            </w:pPr>
            <w:r w:rsidRPr="009B2695">
              <w:rPr>
                <w:rFonts w:eastAsia="Calibri" w:cs="Times New Roman"/>
              </w:rPr>
              <w:t>Garantinio aptarnavimo laikotarpis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7CC89AF5" w14:textId="77777777" w:rsidR="009B2695" w:rsidRPr="003A53BA" w:rsidRDefault="009B2695" w:rsidP="007C22EB">
            <w:pPr>
              <w:ind w:left="113"/>
              <w:rPr>
                <w:rFonts w:eastAsia="Calibri" w:cs="Times New Roman"/>
              </w:rPr>
            </w:pPr>
            <w:r w:rsidRPr="003A53BA">
              <w:rPr>
                <w:rFonts w:eastAsia="Calibri" w:cs="Times New Roman"/>
              </w:rPr>
              <w:t>Ne mažiau 5 metai</w:t>
            </w:r>
          </w:p>
        </w:tc>
      </w:tr>
    </w:tbl>
    <w:p w14:paraId="7D3AAB33" w14:textId="77777777" w:rsidR="00BF3924" w:rsidRDefault="00BF3924" w:rsidP="007C22EB"/>
    <w:sectPr w:rsidR="00BF3924" w:rsidSect="00063D70">
      <w:headerReference w:type="first" r:id="rId7"/>
      <w:pgSz w:w="11907" w:h="16840" w:code="9"/>
      <w:pgMar w:top="1134" w:right="794" w:bottom="567" w:left="1644" w:header="0" w:footer="0" w:gutter="0"/>
      <w:paperSrc w:first="15" w:other="15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002D" w14:textId="77777777" w:rsidR="007D6B5B" w:rsidRDefault="007D6B5B" w:rsidP="007C22EB">
      <w:r>
        <w:separator/>
      </w:r>
    </w:p>
  </w:endnote>
  <w:endnote w:type="continuationSeparator" w:id="0">
    <w:p w14:paraId="7C0770E8" w14:textId="77777777" w:rsidR="007D6B5B" w:rsidRDefault="007D6B5B" w:rsidP="007C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69338" w14:textId="77777777" w:rsidR="007D6B5B" w:rsidRDefault="007D6B5B" w:rsidP="007C22EB">
      <w:r>
        <w:separator/>
      </w:r>
    </w:p>
  </w:footnote>
  <w:footnote w:type="continuationSeparator" w:id="0">
    <w:p w14:paraId="654841D9" w14:textId="77777777" w:rsidR="007D6B5B" w:rsidRDefault="007D6B5B" w:rsidP="007C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30F8" w14:textId="77777777" w:rsidR="007C22EB" w:rsidRDefault="007C22EB">
    <w:pPr>
      <w:pStyle w:val="Antrats"/>
    </w:pPr>
  </w:p>
  <w:p w14:paraId="095C52BD" w14:textId="77777777" w:rsidR="007C22EB" w:rsidRDefault="007C22EB">
    <w:pPr>
      <w:pStyle w:val="Antrats"/>
    </w:pPr>
  </w:p>
  <w:p w14:paraId="096F6AED" w14:textId="6B6E811E" w:rsidR="007C22EB" w:rsidRDefault="007C22EB">
    <w:pPr>
      <w:pStyle w:val="Antrats"/>
    </w:pPr>
    <w:r w:rsidRPr="007C22EB">
      <w:rPr>
        <w:noProof/>
      </w:rPr>
      <w:drawing>
        <wp:inline distT="0" distB="0" distL="0" distR="0" wp14:anchorId="55E0E792" wp14:editId="3E167C4C">
          <wp:extent cx="6012815" cy="158750"/>
          <wp:effectExtent l="0" t="0" r="0" b="0"/>
          <wp:docPr id="1965626930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815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42F34"/>
    <w:multiLevelType w:val="hybridMultilevel"/>
    <w:tmpl w:val="C032E33E"/>
    <w:lvl w:ilvl="0" w:tplc="D75C75F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3" w:hanging="360"/>
      </w:pPr>
    </w:lvl>
    <w:lvl w:ilvl="2" w:tplc="0427001B" w:tentative="1">
      <w:start w:val="1"/>
      <w:numFmt w:val="lowerRoman"/>
      <w:lvlText w:val="%3."/>
      <w:lvlJc w:val="right"/>
      <w:pPr>
        <w:ind w:left="1913" w:hanging="180"/>
      </w:pPr>
    </w:lvl>
    <w:lvl w:ilvl="3" w:tplc="0427000F" w:tentative="1">
      <w:start w:val="1"/>
      <w:numFmt w:val="decimal"/>
      <w:lvlText w:val="%4."/>
      <w:lvlJc w:val="left"/>
      <w:pPr>
        <w:ind w:left="2633" w:hanging="360"/>
      </w:pPr>
    </w:lvl>
    <w:lvl w:ilvl="4" w:tplc="04270019" w:tentative="1">
      <w:start w:val="1"/>
      <w:numFmt w:val="lowerLetter"/>
      <w:lvlText w:val="%5."/>
      <w:lvlJc w:val="left"/>
      <w:pPr>
        <w:ind w:left="3353" w:hanging="360"/>
      </w:pPr>
    </w:lvl>
    <w:lvl w:ilvl="5" w:tplc="0427001B" w:tentative="1">
      <w:start w:val="1"/>
      <w:numFmt w:val="lowerRoman"/>
      <w:lvlText w:val="%6."/>
      <w:lvlJc w:val="right"/>
      <w:pPr>
        <w:ind w:left="4073" w:hanging="180"/>
      </w:pPr>
    </w:lvl>
    <w:lvl w:ilvl="6" w:tplc="0427000F" w:tentative="1">
      <w:start w:val="1"/>
      <w:numFmt w:val="decimal"/>
      <w:lvlText w:val="%7."/>
      <w:lvlJc w:val="left"/>
      <w:pPr>
        <w:ind w:left="4793" w:hanging="360"/>
      </w:pPr>
    </w:lvl>
    <w:lvl w:ilvl="7" w:tplc="04270019" w:tentative="1">
      <w:start w:val="1"/>
      <w:numFmt w:val="lowerLetter"/>
      <w:lvlText w:val="%8."/>
      <w:lvlJc w:val="left"/>
      <w:pPr>
        <w:ind w:left="5513" w:hanging="360"/>
      </w:pPr>
    </w:lvl>
    <w:lvl w:ilvl="8" w:tplc="042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5FCF4B8E"/>
    <w:multiLevelType w:val="hybridMultilevel"/>
    <w:tmpl w:val="1780062E"/>
    <w:lvl w:ilvl="0" w:tplc="0427000F">
      <w:start w:val="1"/>
      <w:numFmt w:val="decimal"/>
      <w:lvlText w:val="%1."/>
      <w:lvlJc w:val="left"/>
      <w:pPr>
        <w:ind w:left="586" w:hanging="360"/>
      </w:pPr>
    </w:lvl>
    <w:lvl w:ilvl="1" w:tplc="04270019" w:tentative="1">
      <w:start w:val="1"/>
      <w:numFmt w:val="lowerLetter"/>
      <w:lvlText w:val="%2."/>
      <w:lvlJc w:val="left"/>
      <w:pPr>
        <w:ind w:left="1306" w:hanging="360"/>
      </w:pPr>
    </w:lvl>
    <w:lvl w:ilvl="2" w:tplc="0427001B" w:tentative="1">
      <w:start w:val="1"/>
      <w:numFmt w:val="lowerRoman"/>
      <w:lvlText w:val="%3."/>
      <w:lvlJc w:val="right"/>
      <w:pPr>
        <w:ind w:left="2026" w:hanging="180"/>
      </w:pPr>
    </w:lvl>
    <w:lvl w:ilvl="3" w:tplc="0427000F" w:tentative="1">
      <w:start w:val="1"/>
      <w:numFmt w:val="decimal"/>
      <w:lvlText w:val="%4."/>
      <w:lvlJc w:val="left"/>
      <w:pPr>
        <w:ind w:left="2746" w:hanging="360"/>
      </w:pPr>
    </w:lvl>
    <w:lvl w:ilvl="4" w:tplc="04270019" w:tentative="1">
      <w:start w:val="1"/>
      <w:numFmt w:val="lowerLetter"/>
      <w:lvlText w:val="%5."/>
      <w:lvlJc w:val="left"/>
      <w:pPr>
        <w:ind w:left="3466" w:hanging="360"/>
      </w:pPr>
    </w:lvl>
    <w:lvl w:ilvl="5" w:tplc="0427001B" w:tentative="1">
      <w:start w:val="1"/>
      <w:numFmt w:val="lowerRoman"/>
      <w:lvlText w:val="%6."/>
      <w:lvlJc w:val="right"/>
      <w:pPr>
        <w:ind w:left="4186" w:hanging="180"/>
      </w:pPr>
    </w:lvl>
    <w:lvl w:ilvl="6" w:tplc="0427000F" w:tentative="1">
      <w:start w:val="1"/>
      <w:numFmt w:val="decimal"/>
      <w:lvlText w:val="%7."/>
      <w:lvlJc w:val="left"/>
      <w:pPr>
        <w:ind w:left="4906" w:hanging="360"/>
      </w:pPr>
    </w:lvl>
    <w:lvl w:ilvl="7" w:tplc="04270019" w:tentative="1">
      <w:start w:val="1"/>
      <w:numFmt w:val="lowerLetter"/>
      <w:lvlText w:val="%8."/>
      <w:lvlJc w:val="left"/>
      <w:pPr>
        <w:ind w:left="5626" w:hanging="360"/>
      </w:pPr>
    </w:lvl>
    <w:lvl w:ilvl="8" w:tplc="0427001B" w:tentative="1">
      <w:start w:val="1"/>
      <w:numFmt w:val="lowerRoman"/>
      <w:lvlText w:val="%9."/>
      <w:lvlJc w:val="right"/>
      <w:pPr>
        <w:ind w:left="6346" w:hanging="180"/>
      </w:pPr>
    </w:lvl>
  </w:abstractNum>
  <w:num w:numId="1" w16cid:durableId="538052012">
    <w:abstractNumId w:val="1"/>
  </w:num>
  <w:num w:numId="2" w16cid:durableId="574973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B74"/>
    <w:rsid w:val="00063D70"/>
    <w:rsid w:val="000C39D7"/>
    <w:rsid w:val="000E3727"/>
    <w:rsid w:val="002B7885"/>
    <w:rsid w:val="0032058A"/>
    <w:rsid w:val="00326766"/>
    <w:rsid w:val="003A53BA"/>
    <w:rsid w:val="00461B1D"/>
    <w:rsid w:val="004A7201"/>
    <w:rsid w:val="004A7DCC"/>
    <w:rsid w:val="00524DB7"/>
    <w:rsid w:val="00595A34"/>
    <w:rsid w:val="00606F6B"/>
    <w:rsid w:val="00760185"/>
    <w:rsid w:val="007B31EF"/>
    <w:rsid w:val="007B5DAF"/>
    <w:rsid w:val="007C22EB"/>
    <w:rsid w:val="007D6B5B"/>
    <w:rsid w:val="009B2695"/>
    <w:rsid w:val="00A166AD"/>
    <w:rsid w:val="00A52877"/>
    <w:rsid w:val="00A647D2"/>
    <w:rsid w:val="00AB3382"/>
    <w:rsid w:val="00AE09AC"/>
    <w:rsid w:val="00B40E4F"/>
    <w:rsid w:val="00B51342"/>
    <w:rsid w:val="00BC0ED9"/>
    <w:rsid w:val="00BD0306"/>
    <w:rsid w:val="00BF3924"/>
    <w:rsid w:val="00C31988"/>
    <w:rsid w:val="00C63B74"/>
    <w:rsid w:val="00CC3C2C"/>
    <w:rsid w:val="00CE1BE5"/>
    <w:rsid w:val="00D331FB"/>
    <w:rsid w:val="00E3446F"/>
    <w:rsid w:val="00E84018"/>
    <w:rsid w:val="00EC61BF"/>
    <w:rsid w:val="00EF07F1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C56D"/>
  <w15:chartTrackingRefBased/>
  <w15:docId w15:val="{61297F6D-FF78-4F32-B9CE-CFD4BDED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7C22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22EB"/>
  </w:style>
  <w:style w:type="paragraph" w:styleId="Porat">
    <w:name w:val="footer"/>
    <w:basedOn w:val="prastasis"/>
    <w:link w:val="PoratDiagrama"/>
    <w:uiPriority w:val="99"/>
    <w:unhideWhenUsed/>
    <w:rsid w:val="007C22E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22EB"/>
  </w:style>
  <w:style w:type="paragraph" w:styleId="Sraopastraipa">
    <w:name w:val="List Paragraph"/>
    <w:basedOn w:val="prastasis"/>
    <w:uiPriority w:val="34"/>
    <w:qFormat/>
    <w:rsid w:val="00E84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Satas</dc:creator>
  <cp:keywords/>
  <dc:description/>
  <cp:lastModifiedBy>Eglė Mickevičienė</cp:lastModifiedBy>
  <cp:revision>2</cp:revision>
  <dcterms:created xsi:type="dcterms:W3CDTF">2025-08-22T10:35:00Z</dcterms:created>
  <dcterms:modified xsi:type="dcterms:W3CDTF">2025-08-22T10:35:00Z</dcterms:modified>
</cp:coreProperties>
</file>