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F40F" w14:textId="5D1F6AB2" w:rsidR="00943DBD" w:rsidRPr="00943DBD" w:rsidRDefault="00943DBD" w:rsidP="00943DBD">
      <w:pPr>
        <w:spacing w:after="120"/>
        <w:jc w:val="right"/>
        <w:rPr>
          <w:szCs w:val="28"/>
        </w:rPr>
      </w:pPr>
      <w:r w:rsidRPr="00943DBD">
        <w:rPr>
          <w:szCs w:val="28"/>
        </w:rPr>
        <w:t xml:space="preserve">Pirkimo sąlygų </w:t>
      </w:r>
      <w:r w:rsidR="000E5459">
        <w:rPr>
          <w:szCs w:val="28"/>
        </w:rPr>
        <w:t>8</w:t>
      </w:r>
      <w:r w:rsidRPr="00943DBD">
        <w:rPr>
          <w:szCs w:val="28"/>
        </w:rPr>
        <w:t xml:space="preserve"> priedas  „Sutarties projektas“</w:t>
      </w:r>
    </w:p>
    <w:p w14:paraId="5A5A86E4" w14:textId="77777777" w:rsidR="00165BC5" w:rsidRPr="00B44F2A" w:rsidRDefault="00165BC5" w:rsidP="00165BC5">
      <w:pPr>
        <w:pStyle w:val="H1"/>
        <w:numPr>
          <w:ilvl w:val="0"/>
          <w:numId w:val="0"/>
        </w:numPr>
        <w:jc w:val="center"/>
        <w:rPr>
          <w:sz w:val="24"/>
          <w:szCs w:val="22"/>
          <w:lang w:val="lt-LT"/>
        </w:rPr>
      </w:pPr>
    </w:p>
    <w:p w14:paraId="2A8E2758" w14:textId="77777777" w:rsidR="000E5459" w:rsidRPr="000E5459" w:rsidRDefault="000E5459" w:rsidP="000E5459">
      <w:pPr>
        <w:suppressAutoHyphens/>
        <w:overflowPunct w:val="0"/>
        <w:spacing w:before="60" w:after="60"/>
        <w:jc w:val="center"/>
        <w:textAlignment w:val="baseline"/>
        <w:outlineLvl w:val="1"/>
        <w:rPr>
          <w:rFonts w:eastAsia="Calibri"/>
          <w:b/>
          <w:bCs/>
          <w:sz w:val="36"/>
          <w:szCs w:val="36"/>
        </w:rPr>
      </w:pPr>
      <w:bookmarkStart w:id="0" w:name="Bendrosios_salygos"/>
      <w:bookmarkEnd w:id="0"/>
      <w:r w:rsidRPr="000E5459">
        <w:rPr>
          <w:rFonts w:eastAsia="Calibri"/>
          <w:b/>
          <w:caps/>
          <w:kern w:val="28"/>
          <w:sz w:val="28"/>
        </w:rPr>
        <w:t xml:space="preserve">Rangos sutartis </w:t>
      </w:r>
    </w:p>
    <w:p w14:paraId="2A882B85" w14:textId="536DD62D" w:rsidR="000E5459" w:rsidRDefault="000E5459" w:rsidP="000E5459">
      <w:pPr>
        <w:jc w:val="center"/>
        <w:outlineLvl w:val="0"/>
        <w:rPr>
          <w:rFonts w:eastAsia="Calibri"/>
          <w:b/>
          <w:sz w:val="24"/>
          <w:szCs w:val="24"/>
        </w:rPr>
      </w:pPr>
      <w:bookmarkStart w:id="1" w:name="_Toc96820539"/>
      <w:bookmarkStart w:id="2" w:name="_Toc96820705"/>
      <w:r w:rsidRPr="000E5459">
        <w:rPr>
          <w:rFonts w:eastAsia="Calibri"/>
          <w:b/>
          <w:sz w:val="24"/>
          <w:szCs w:val="24"/>
        </w:rPr>
        <w:t>Rangos Sutartis Nr.</w:t>
      </w:r>
      <w:bookmarkEnd w:id="1"/>
      <w:bookmarkEnd w:id="2"/>
      <w:r w:rsidRPr="000E5459">
        <w:rPr>
          <w:rFonts w:eastAsia="Calibri"/>
          <w:b/>
          <w:sz w:val="24"/>
          <w:szCs w:val="24"/>
        </w:rPr>
        <w:t xml:space="preserve"> </w:t>
      </w:r>
      <w:r w:rsidR="009C2EE2">
        <w:rPr>
          <w:rFonts w:eastAsia="Calibri"/>
          <w:b/>
          <w:sz w:val="24"/>
          <w:szCs w:val="24"/>
        </w:rPr>
        <w:t>25-36</w:t>
      </w:r>
    </w:p>
    <w:p w14:paraId="2F1BA2CC" w14:textId="560D1165" w:rsidR="00394B7B" w:rsidRPr="000E5459" w:rsidRDefault="00394B7B" w:rsidP="000E5459">
      <w:pPr>
        <w:jc w:val="center"/>
        <w:outlineLvl w:val="0"/>
        <w:rPr>
          <w:rFonts w:eastAsia="Calibri"/>
          <w:b/>
          <w:sz w:val="24"/>
          <w:szCs w:val="24"/>
          <w:u w:val="single"/>
        </w:rPr>
      </w:pPr>
      <w:r w:rsidRPr="00394B7B">
        <w:rPr>
          <w:rFonts w:eastAsia="Calibri"/>
          <w:b/>
          <w:sz w:val="24"/>
          <w:szCs w:val="24"/>
          <w:u w:val="single"/>
        </w:rPr>
        <w:t>Vandentiekio ir nuotekų šalinimo tinklų Šlapaberžės g., Gėlių g., Saulėtekio g. bei nuotekų tinklų Miškų g. ir Žalioji g., Šlapaberžės k., Kėdainių r. statyba.</w:t>
      </w:r>
    </w:p>
    <w:p w14:paraId="44FA4AE8" w14:textId="77777777" w:rsidR="000E5459" w:rsidRPr="000E5459" w:rsidRDefault="000E5459" w:rsidP="000E5459">
      <w:pPr>
        <w:jc w:val="center"/>
        <w:outlineLvl w:val="0"/>
        <w:rPr>
          <w:rFonts w:eastAsia="Calibri"/>
          <w:sz w:val="22"/>
          <w:szCs w:val="24"/>
        </w:rPr>
      </w:pPr>
    </w:p>
    <w:p w14:paraId="51188BF5" w14:textId="77777777" w:rsidR="000E5459" w:rsidRPr="000E5459" w:rsidRDefault="000E5459" w:rsidP="000E5459">
      <w:pPr>
        <w:jc w:val="both"/>
        <w:rPr>
          <w:rFonts w:eastAsia="Calibri"/>
          <w:sz w:val="22"/>
          <w:szCs w:val="22"/>
        </w:rPr>
      </w:pPr>
      <w:r w:rsidRPr="000E5459">
        <w:rPr>
          <w:rFonts w:eastAsia="Calibri"/>
          <w:sz w:val="22"/>
          <w:szCs w:val="24"/>
        </w:rPr>
        <w:t xml:space="preserve">UAB „Kėdainių vandenys“, </w:t>
      </w:r>
      <w:r w:rsidRPr="000E5459">
        <w:rPr>
          <w:rFonts w:eastAsia="Calibri"/>
          <w:sz w:val="22"/>
          <w:szCs w:val="22"/>
        </w:rPr>
        <w:t xml:space="preserve">juridinio asmens kodas 161186428, adresas: </w:t>
      </w:r>
      <w:r w:rsidRPr="000E5459">
        <w:rPr>
          <w:rFonts w:eastAsia="Calibri"/>
          <w:sz w:val="22"/>
          <w:szCs w:val="22"/>
        </w:rPr>
        <w:tab/>
        <w:t>Dotnuvos g. 5, LT-57177 Kėdainiai (toliau sutartyje vadinamas „Užsakovu“),</w:t>
      </w:r>
    </w:p>
    <w:p w14:paraId="35BE2280" w14:textId="77777777" w:rsidR="000E5459" w:rsidRPr="000E5459" w:rsidRDefault="000E5459" w:rsidP="000E5459">
      <w:pPr>
        <w:spacing w:before="120"/>
        <w:ind w:right="-567"/>
        <w:jc w:val="both"/>
        <w:rPr>
          <w:rFonts w:eastAsia="Calibri"/>
          <w:sz w:val="22"/>
          <w:szCs w:val="22"/>
        </w:rPr>
      </w:pPr>
      <w:r w:rsidRPr="000E5459">
        <w:rPr>
          <w:rFonts w:eastAsia="Calibri"/>
          <w:sz w:val="22"/>
          <w:szCs w:val="22"/>
        </w:rPr>
        <w:t xml:space="preserve">ir </w:t>
      </w:r>
    </w:p>
    <w:p w14:paraId="5A3E62F0" w14:textId="6B5FBEA9" w:rsidR="000E5459" w:rsidRPr="00EF57B0" w:rsidRDefault="00EF57B0" w:rsidP="000E5459">
      <w:pPr>
        <w:spacing w:before="120"/>
        <w:ind w:right="-567"/>
        <w:jc w:val="both"/>
        <w:rPr>
          <w:rFonts w:eastAsia="Calibri"/>
          <w:sz w:val="22"/>
          <w:szCs w:val="22"/>
        </w:rPr>
      </w:pPr>
      <w:r w:rsidRPr="00EF57B0">
        <w:rPr>
          <w:rFonts w:eastAsia="Calibri"/>
          <w:sz w:val="22"/>
          <w:szCs w:val="22"/>
        </w:rPr>
        <w:t>UAB „Požeminės linijos“, juridinio asmens kodas: 160427431, adresas: Energetikų g. 42, LT 52485 Kaunas</w:t>
      </w:r>
    </w:p>
    <w:p w14:paraId="2666743F" w14:textId="77777777" w:rsidR="000E5459" w:rsidRPr="000E5459" w:rsidRDefault="000E5459" w:rsidP="000E5459">
      <w:pPr>
        <w:spacing w:before="120"/>
        <w:ind w:right="-567"/>
        <w:jc w:val="both"/>
        <w:rPr>
          <w:rFonts w:eastAsia="Calibri"/>
          <w:sz w:val="22"/>
          <w:szCs w:val="22"/>
        </w:rPr>
      </w:pPr>
      <w:r w:rsidRPr="000E5459">
        <w:rPr>
          <w:rFonts w:eastAsia="Calibri"/>
          <w:sz w:val="22"/>
          <w:szCs w:val="22"/>
        </w:rPr>
        <w:t>(toliau sutartyje vadinamas „Rangovu“), atstovaujantis kitą sutarties šalį, sudarė šią sutartį.</w:t>
      </w:r>
    </w:p>
    <w:p w14:paraId="43864D4F"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Šioje Sutartyje žodžiai ir išsireiškimai (frazės) turi tokias pačias reikšmes, kokios jiems suteiktos Konkrečiose ir Bendrosiose sutarties sąlygose.</w:t>
      </w:r>
    </w:p>
    <w:p w14:paraId="1250A0ED"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Turi būti laikoma, kad toliau išvardinti dokumentai sudaro šią Sutartį ir yra suprantami ir aiškintini kaip jos sudedamosios dalys (nurodyta svarbos tvarka):</w:t>
      </w:r>
    </w:p>
    <w:p w14:paraId="3FDA999E" w14:textId="4F983874"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Rangos Sutartis;</w:t>
      </w:r>
    </w:p>
    <w:p w14:paraId="404416EB"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Pasiūlymo raštas;</w:t>
      </w:r>
    </w:p>
    <w:p w14:paraId="0F300B04"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Konkrečiųjų sąlygų A dalis „Sutarties duomenų dalis“;</w:t>
      </w:r>
    </w:p>
    <w:p w14:paraId="41236388"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Konkrečiųjų sąlygų B dalis „Specialiosios nuostatos“;</w:t>
      </w:r>
    </w:p>
    <w:p w14:paraId="05AE3266"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Bendrosios sutarties sąlygos;</w:t>
      </w:r>
    </w:p>
    <w:p w14:paraId="06D02C4E"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Techninė specifikacija;</w:t>
      </w:r>
    </w:p>
    <w:p w14:paraId="7B40571E"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Brėžiniai;</w:t>
      </w:r>
    </w:p>
    <w:p w14:paraId="6E5B0F3C"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Žiniaraščiai;</w:t>
      </w:r>
    </w:p>
    <w:p w14:paraId="36645C05"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Kiti Sutartį sudarantys dokumentai.</w:t>
      </w:r>
    </w:p>
    <w:p w14:paraId="05F1EDB8" w14:textId="5EDBD54E"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Rangovas įsipareigoja Užsakovui tinkamai atlikti ir baigti darbus per </w:t>
      </w:r>
      <w:r w:rsidRPr="000E5459">
        <w:rPr>
          <w:rFonts w:eastAsia="Calibri"/>
          <w:b/>
          <w:i/>
          <w:sz w:val="22"/>
          <w:szCs w:val="22"/>
        </w:rPr>
        <w:t xml:space="preserve">12 mėn. </w:t>
      </w:r>
      <w:r w:rsidRPr="000E5459">
        <w:rPr>
          <w:rFonts w:eastAsia="Calibri"/>
          <w:sz w:val="22"/>
          <w:szCs w:val="22"/>
        </w:rPr>
        <w:t xml:space="preserve">nuo darbo pradžios Programoje nustatytais terminais bei ištaisyti bet kuriuos jų defektus, laikantis sutarties ir LR Civilinio kodekso nuostatų. </w:t>
      </w:r>
    </w:p>
    <w:p w14:paraId="2D397041"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Užsakovas įsipareigoja sumokėti </w:t>
      </w:r>
      <w:r w:rsidRPr="000E5459">
        <w:rPr>
          <w:rFonts w:eastAsia="Calibri"/>
          <w:b/>
          <w:sz w:val="22"/>
          <w:szCs w:val="22"/>
        </w:rPr>
        <w:t xml:space="preserve">Sutarties kainą </w:t>
      </w:r>
      <w:r w:rsidRPr="000E5459">
        <w:rPr>
          <w:rFonts w:eastAsia="Calibri"/>
          <w:sz w:val="22"/>
          <w:szCs w:val="22"/>
        </w:rPr>
        <w:t>Rangovui, atsižvelgdamas į Darbų vykdymą bei jų baigimą ir bet kurių defektų ištaisymą per tą laiką ir tuo būdu, kurie yra numatyti šioje sutartyje.</w:t>
      </w:r>
    </w:p>
    <w:p w14:paraId="0F94413D"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PVM bus mokamas Rangovui pagal galiojančius Lietuvos Respublikos teisės aktus bei tarptautinius susitarimus, susijusius su šios programos įgyvendinimu.</w:t>
      </w:r>
    </w:p>
    <w:p w14:paraId="4597698C" w14:textId="77777777" w:rsidR="000E5459" w:rsidRPr="000E5459" w:rsidRDefault="000E5459" w:rsidP="000E5459">
      <w:pPr>
        <w:widowControl w:val="0"/>
        <w:numPr>
          <w:ilvl w:val="0"/>
          <w:numId w:val="3"/>
        </w:numPr>
        <w:tabs>
          <w:tab w:val="num" w:pos="720"/>
          <w:tab w:val="num" w:pos="786"/>
        </w:tabs>
        <w:autoSpaceDE w:val="0"/>
        <w:autoSpaceDN w:val="0"/>
        <w:adjustRightInd w:val="0"/>
        <w:spacing w:before="120"/>
        <w:ind w:left="786" w:right="-17" w:hanging="720"/>
        <w:jc w:val="both"/>
        <w:rPr>
          <w:rFonts w:eastAsia="Calibri"/>
          <w:sz w:val="22"/>
          <w:szCs w:val="22"/>
        </w:rPr>
      </w:pPr>
      <w:r w:rsidRPr="000E5459">
        <w:rPr>
          <w:rFonts w:eastAsia="Calibri"/>
          <w:b/>
          <w:sz w:val="22"/>
          <w:szCs w:val="22"/>
        </w:rPr>
        <w:t>Priimta sutarties suma</w:t>
      </w:r>
      <w:r w:rsidRPr="000E5459">
        <w:rPr>
          <w:rFonts w:eastAsia="Calibri"/>
          <w:sz w:val="22"/>
          <w:szCs w:val="22"/>
        </w:rPr>
        <w:t xml:space="preserve"> (be PVM) sudaro:</w:t>
      </w:r>
    </w:p>
    <w:p w14:paraId="5CB8F607" w14:textId="11A9FBFE" w:rsidR="000E5459" w:rsidRPr="000E5459" w:rsidRDefault="00EF57B0"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ind w:left="720"/>
        <w:jc w:val="both"/>
        <w:rPr>
          <w:rFonts w:eastAsia="Calibri"/>
          <w:b/>
          <w:bCs/>
          <w:sz w:val="22"/>
          <w:szCs w:val="22"/>
        </w:rPr>
      </w:pPr>
      <w:r w:rsidRPr="00EF57B0">
        <w:rPr>
          <w:rFonts w:eastAsia="Calibri"/>
          <w:b/>
          <w:sz w:val="22"/>
          <w:szCs w:val="22"/>
        </w:rPr>
        <w:t>599 148,31</w:t>
      </w:r>
      <w:r w:rsidR="000E5459" w:rsidRPr="000E5459">
        <w:rPr>
          <w:rFonts w:eastAsia="Calibri"/>
          <w:b/>
          <w:sz w:val="22"/>
          <w:szCs w:val="22"/>
        </w:rPr>
        <w:t xml:space="preserve"> </w:t>
      </w:r>
      <w:r w:rsidR="000E5459" w:rsidRPr="000E5459">
        <w:rPr>
          <w:rFonts w:eastAsia="Calibri"/>
          <w:b/>
          <w:bCs/>
          <w:sz w:val="22"/>
          <w:szCs w:val="22"/>
        </w:rPr>
        <w:t>Eur</w:t>
      </w:r>
      <w:r w:rsidR="000E5459" w:rsidRPr="000E5459">
        <w:rPr>
          <w:rFonts w:eastAsia="Calibri"/>
          <w:b/>
          <w:sz w:val="22"/>
          <w:szCs w:val="22"/>
        </w:rPr>
        <w:t xml:space="preserve">, (suma žodžiais </w:t>
      </w:r>
      <w:r w:rsidRPr="00EF57B0">
        <w:rPr>
          <w:rFonts w:eastAsia="Calibri"/>
          <w:b/>
          <w:sz w:val="22"/>
          <w:szCs w:val="22"/>
        </w:rPr>
        <w:t>Penki šimtai devyniasdešimt devyni tūkstančiai vienas šimtas keturiasdešimt aštuoni eurai, 31 centas</w:t>
      </w:r>
      <w:r w:rsidR="000E5459" w:rsidRPr="000E5459">
        <w:rPr>
          <w:rFonts w:eastAsia="Calibri"/>
          <w:b/>
          <w:sz w:val="22"/>
          <w:szCs w:val="22"/>
        </w:rPr>
        <w:t>),</w:t>
      </w:r>
    </w:p>
    <w:p w14:paraId="3EC34009" w14:textId="77777777" w:rsidR="000E5459" w:rsidRPr="000E5459" w:rsidRDefault="000E5459" w:rsidP="000E5459">
      <w:pPr>
        <w:keepLines/>
        <w:suppressLineNumbers/>
        <w:tabs>
          <w:tab w:val="left" w:pos="720"/>
          <w:tab w:val="left" w:pos="1134"/>
          <w:tab w:val="left" w:pos="1701"/>
          <w:tab w:val="left" w:pos="2268"/>
          <w:tab w:val="left" w:pos="2835"/>
          <w:tab w:val="left" w:pos="3402"/>
          <w:tab w:val="left" w:pos="3969"/>
          <w:tab w:val="left" w:pos="4536"/>
        </w:tabs>
        <w:suppressAutoHyphens/>
        <w:spacing w:before="100"/>
        <w:ind w:left="720" w:hanging="27"/>
        <w:jc w:val="both"/>
        <w:rPr>
          <w:rFonts w:eastAsia="Calibri"/>
          <w:b/>
          <w:sz w:val="22"/>
          <w:szCs w:val="22"/>
        </w:rPr>
      </w:pPr>
      <w:r w:rsidRPr="000E5459">
        <w:rPr>
          <w:rFonts w:eastAsia="Calibri"/>
          <w:b/>
          <w:sz w:val="22"/>
          <w:szCs w:val="22"/>
        </w:rPr>
        <w:t>Pridėtinės vertės mokestis skaičiuojamas ir apmokamas vadovaujantis Lietuvos Respublikoje galiojančiais teisės aktais</w:t>
      </w:r>
    </w:p>
    <w:p w14:paraId="637C7CC6" w14:textId="77777777" w:rsidR="000E5459" w:rsidRPr="000E5459" w:rsidRDefault="000E5459"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jc w:val="both"/>
        <w:rPr>
          <w:rFonts w:eastAsia="Calibri"/>
          <w:b/>
          <w:sz w:val="22"/>
          <w:szCs w:val="22"/>
        </w:rPr>
      </w:pPr>
      <w:r w:rsidRPr="000E5459">
        <w:rPr>
          <w:rFonts w:eastAsia="Calibri"/>
          <w:b/>
          <w:color w:val="339966"/>
          <w:sz w:val="22"/>
          <w:szCs w:val="22"/>
        </w:rPr>
        <w:tab/>
      </w:r>
      <w:r w:rsidRPr="000E5459">
        <w:rPr>
          <w:rFonts w:eastAsia="Calibri"/>
          <w:b/>
          <w:sz w:val="22"/>
          <w:szCs w:val="22"/>
        </w:rPr>
        <w:t>PVM sudaro:</w:t>
      </w:r>
    </w:p>
    <w:p w14:paraId="39CB9A29" w14:textId="39D2069E" w:rsidR="000E5459" w:rsidRPr="000E5459" w:rsidRDefault="00EF57B0"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ind w:left="720"/>
        <w:jc w:val="both"/>
        <w:rPr>
          <w:rFonts w:eastAsia="Calibri"/>
          <w:b/>
          <w:sz w:val="22"/>
          <w:szCs w:val="22"/>
        </w:rPr>
      </w:pPr>
      <w:r w:rsidRPr="00EF57B0">
        <w:rPr>
          <w:rFonts w:eastAsia="Calibri"/>
          <w:b/>
          <w:sz w:val="22"/>
          <w:szCs w:val="22"/>
        </w:rPr>
        <w:t>125 821,15</w:t>
      </w:r>
      <w:r w:rsidR="000E5459" w:rsidRPr="000E5459">
        <w:rPr>
          <w:rFonts w:eastAsia="Calibri"/>
          <w:b/>
          <w:sz w:val="22"/>
          <w:szCs w:val="22"/>
        </w:rPr>
        <w:t xml:space="preserve"> </w:t>
      </w:r>
      <w:r w:rsidR="000E5459" w:rsidRPr="000E5459">
        <w:rPr>
          <w:rFonts w:eastAsia="Calibri"/>
          <w:b/>
          <w:bCs/>
          <w:sz w:val="22"/>
          <w:szCs w:val="22"/>
        </w:rPr>
        <w:t>Eur</w:t>
      </w:r>
      <w:r w:rsidR="000E5459" w:rsidRPr="000E5459">
        <w:rPr>
          <w:rFonts w:eastAsia="Calibri"/>
          <w:b/>
          <w:sz w:val="22"/>
          <w:szCs w:val="22"/>
        </w:rPr>
        <w:t xml:space="preserve">, (suma žodžiais </w:t>
      </w:r>
      <w:r w:rsidRPr="00EF57B0">
        <w:rPr>
          <w:rFonts w:eastAsia="Calibri"/>
          <w:b/>
          <w:sz w:val="22"/>
          <w:szCs w:val="22"/>
        </w:rPr>
        <w:t>Vienas šimtas dvidešimt penki tūkstančiai aštuoni šimtai dvidešimt vienas euras, 15 centų</w:t>
      </w:r>
      <w:r w:rsidR="000E5459" w:rsidRPr="000E5459">
        <w:rPr>
          <w:rFonts w:eastAsia="Calibri"/>
          <w:b/>
          <w:sz w:val="22"/>
          <w:szCs w:val="22"/>
        </w:rPr>
        <w:t>)</w:t>
      </w:r>
    </w:p>
    <w:p w14:paraId="52E5F5C1" w14:textId="77777777" w:rsidR="000E5459" w:rsidRPr="000E5459" w:rsidRDefault="000E5459" w:rsidP="000E5459">
      <w:pPr>
        <w:tabs>
          <w:tab w:val="num" w:pos="426"/>
        </w:tabs>
        <w:spacing w:before="120" w:after="120"/>
        <w:ind w:right="-17"/>
        <w:jc w:val="both"/>
        <w:rPr>
          <w:rFonts w:eastAsia="Calibri"/>
          <w:sz w:val="22"/>
          <w:szCs w:val="22"/>
        </w:rPr>
      </w:pPr>
      <w:r w:rsidRPr="000E5459">
        <w:rPr>
          <w:rFonts w:eastAsia="Calibri"/>
          <w:b/>
          <w:sz w:val="22"/>
          <w:szCs w:val="22"/>
        </w:rPr>
        <w:tab/>
      </w:r>
      <w:r w:rsidRPr="000E5459">
        <w:rPr>
          <w:rFonts w:eastAsia="Calibri"/>
          <w:b/>
          <w:sz w:val="22"/>
          <w:szCs w:val="22"/>
        </w:rPr>
        <w:tab/>
        <w:t>Priimtą sutarties sumą</w:t>
      </w:r>
      <w:r w:rsidRPr="000E5459">
        <w:rPr>
          <w:rFonts w:eastAsia="Calibri"/>
          <w:sz w:val="22"/>
          <w:szCs w:val="22"/>
        </w:rPr>
        <w:t xml:space="preserve"> (su PVM) sudaro:</w:t>
      </w:r>
    </w:p>
    <w:p w14:paraId="5B11C54D" w14:textId="3DA1063B" w:rsidR="000E5459" w:rsidRPr="000E5459" w:rsidRDefault="00EF57B0"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ind w:left="720"/>
        <w:jc w:val="both"/>
        <w:rPr>
          <w:rFonts w:eastAsia="Calibri"/>
          <w:b/>
          <w:sz w:val="22"/>
          <w:szCs w:val="22"/>
        </w:rPr>
      </w:pPr>
      <w:r w:rsidRPr="00EF57B0">
        <w:rPr>
          <w:rFonts w:eastAsia="Calibri"/>
          <w:b/>
          <w:sz w:val="22"/>
          <w:szCs w:val="22"/>
        </w:rPr>
        <w:t>724 969,46</w:t>
      </w:r>
      <w:r w:rsidR="000E5459" w:rsidRPr="000E5459">
        <w:rPr>
          <w:rFonts w:eastAsia="Calibri"/>
          <w:b/>
          <w:sz w:val="22"/>
          <w:szCs w:val="22"/>
        </w:rPr>
        <w:t xml:space="preserve"> </w:t>
      </w:r>
      <w:r w:rsidR="000E5459" w:rsidRPr="000E5459">
        <w:rPr>
          <w:rFonts w:eastAsia="Calibri"/>
          <w:b/>
          <w:bCs/>
          <w:sz w:val="22"/>
          <w:szCs w:val="22"/>
        </w:rPr>
        <w:t>Eur</w:t>
      </w:r>
      <w:r w:rsidR="000E5459" w:rsidRPr="000E5459">
        <w:rPr>
          <w:rFonts w:eastAsia="Calibri"/>
          <w:b/>
          <w:sz w:val="22"/>
          <w:szCs w:val="22"/>
        </w:rPr>
        <w:t xml:space="preserve">, (suma žodžiais </w:t>
      </w:r>
      <w:r w:rsidRPr="00EF57B0">
        <w:rPr>
          <w:rFonts w:eastAsia="Calibri"/>
          <w:b/>
          <w:sz w:val="22"/>
          <w:szCs w:val="22"/>
        </w:rPr>
        <w:t>Septyni šimtai dvidešimt keturi tūkstančiai devyni šimtai šešiasdešimt devyni eurai, 46 centai</w:t>
      </w:r>
      <w:r w:rsidR="000E5459" w:rsidRPr="000E5459">
        <w:rPr>
          <w:rFonts w:eastAsia="Calibri"/>
          <w:b/>
          <w:sz w:val="22"/>
          <w:szCs w:val="22"/>
        </w:rPr>
        <w:t>)</w:t>
      </w:r>
    </w:p>
    <w:p w14:paraId="30AACCDC"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Užsakovas mokėjimus darys eurais.</w:t>
      </w:r>
    </w:p>
    <w:p w14:paraId="2381D9E8"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lastRenderedPageBreak/>
        <w:t>Užsakovas įsipareigoja sumokėti Rangovui už faktiškai atliktus ir priimtus darbus pagal Žiniaraščiuose nurodytas kainas.</w:t>
      </w:r>
    </w:p>
    <w:p w14:paraId="479165C8"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Rangovas įsipareigoja Užsakovui tinkamai atlikti ir baigti darbus pagal Rangovo pasiūlyme nurodytą kainą. Atlikus darbus Rangovas turės parengti išpildomąją dokumentaciją, pateikti eksploatavimo ir priežiūros instrukcijas, ir gauti statybos užbaigimo aktą.</w:t>
      </w:r>
    </w:p>
    <w:p w14:paraId="2FFA94F4"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Darbų kainos apskaičiavimo būdas – fiksuota kaina. Į darbų kainą įskaičiuotos visos su darbų atlikimu susijusios tiesioginės bei netiesioginės išlaidos, mokesčiai ir rinkliavos (neįskaitant PVM).</w:t>
      </w:r>
    </w:p>
    <w:p w14:paraId="3B3132AD"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Pridėtinės vertės mokestis skaičiuojamas ir apmokamas vadovaujantis Lietuvos Respublikoje galiojančiais teisės aktais. Pasikeitus pridėtinės vertės mokesčio tarifui, priimta sutarties suma nėra keičiama. Tarifo pasikeitimas turės įtakos tik tiems darbams arba jų daliai, kurie buvo atlikti po tos dienos, kai įsigaliojo naujai taikomo pridėtinės vertės mokesčio tarifo dydis.</w:t>
      </w:r>
    </w:p>
    <w:p w14:paraId="6971EF1C" w14:textId="61358299"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Sutartis įsigalioja tą dieną, kai Rangovas pateikia atlikimo užtikrinimą. </w:t>
      </w:r>
      <w:r w:rsidR="00285ACE">
        <w:rPr>
          <w:rFonts w:eastAsia="Calibri"/>
          <w:sz w:val="22"/>
          <w:szCs w:val="22"/>
        </w:rPr>
        <w:t xml:space="preserve">Būtina Rangos sutarties įsigaliojimo sąlyga – </w:t>
      </w:r>
      <w:r w:rsidR="007005BF">
        <w:rPr>
          <w:rFonts w:eastAsia="Calibri"/>
          <w:sz w:val="22"/>
          <w:szCs w:val="22"/>
        </w:rPr>
        <w:t xml:space="preserve">teigiamas sprendimas </w:t>
      </w:r>
      <w:r w:rsidR="00285ACE" w:rsidRPr="00285ACE">
        <w:rPr>
          <w:rFonts w:eastAsia="Calibri"/>
          <w:sz w:val="22"/>
          <w:szCs w:val="22"/>
        </w:rPr>
        <w:t xml:space="preserve">projekto </w:t>
      </w:r>
      <w:r w:rsidR="00285ACE">
        <w:rPr>
          <w:rFonts w:eastAsia="Calibri"/>
          <w:sz w:val="22"/>
          <w:szCs w:val="22"/>
        </w:rPr>
        <w:t>„</w:t>
      </w:r>
      <w:r w:rsidR="00285ACE" w:rsidRPr="00285ACE">
        <w:rPr>
          <w:rFonts w:eastAsia="Calibri"/>
          <w:sz w:val="22"/>
          <w:szCs w:val="22"/>
        </w:rPr>
        <w:t>Geriamojo vandens tiekimo bei nuotekų tvarkymo paslaugų prieinamumo didinimas Kėdainių rajone</w:t>
      </w:r>
      <w:r w:rsidR="00285ACE">
        <w:rPr>
          <w:rFonts w:eastAsia="Calibri"/>
          <w:sz w:val="22"/>
          <w:szCs w:val="22"/>
        </w:rPr>
        <w:t>“</w:t>
      </w:r>
      <w:r w:rsidR="007005BF">
        <w:rPr>
          <w:rFonts w:eastAsia="Calibri"/>
          <w:sz w:val="22"/>
          <w:szCs w:val="22"/>
        </w:rPr>
        <w:t xml:space="preserve"> finansavimo skyrimo pagal </w:t>
      </w:r>
      <w:r w:rsidR="001C29A8" w:rsidRPr="001C29A8">
        <w:rPr>
          <w:rFonts w:eastAsia="Calibri"/>
          <w:sz w:val="22"/>
          <w:szCs w:val="22"/>
        </w:rPr>
        <w:t>2021–2030 metų Lietuvos Respublikos aplinkos ministerijos pažangos priemonės Nr. 02-001-06-07-02-(RE)-22-( LT022-02-04-01) „Didinti geriamojo vandens tiekimo ir nuotekų tvarkymo paslaugų prieinamumą“ kvietimą Nr. 22-203-P „Geriamojo vandens tiekimo ir nuotekų tvarkymo paslaugų prieinamumo didinimas Kaišiadorių ir Kėdainių rajono savivaldybėse“</w:t>
      </w:r>
      <w:r w:rsidR="007005BF">
        <w:rPr>
          <w:rFonts w:eastAsia="Calibri"/>
          <w:sz w:val="22"/>
          <w:szCs w:val="22"/>
        </w:rPr>
        <w:t xml:space="preserve">, t. y. negavus finansavimo pagal </w:t>
      </w:r>
      <w:r w:rsidR="001C29A8" w:rsidRPr="001C29A8">
        <w:rPr>
          <w:rFonts w:eastAsia="Calibri"/>
          <w:sz w:val="22"/>
          <w:szCs w:val="22"/>
        </w:rPr>
        <w:t>2021–2030 metų Lietuvos Respublikos aplinkos ministerijos pažangos priemonės Nr. 02-001-06-07-02-(RE)-22-( LT022-02-04-01) „Didinti geriamojo vandens tiekimo ir nuotekų tvarkymo paslaugų prieinamumą“ kvietimą Nr. 22-203-P „Geriamojo vandens tiekimo ir nuotekų tvarkymo paslaugų prieinamumo didinimas Kaišiadorių ir Kėdainių rajono savivaldybėse“</w:t>
      </w:r>
      <w:r w:rsidR="007005BF">
        <w:rPr>
          <w:rFonts w:eastAsia="Calibri"/>
          <w:sz w:val="22"/>
          <w:szCs w:val="22"/>
        </w:rPr>
        <w:t xml:space="preserve"> Rangos sutartis neįsigalioja.</w:t>
      </w:r>
    </w:p>
    <w:p w14:paraId="52EF0453"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Sutartis pasibaigia, kai visos sutarties šalys įvykdo savo įsipareigojimus.</w:t>
      </w:r>
    </w:p>
    <w:p w14:paraId="3685C75C"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Užsakovo paskirtas asmuo, atsakingas už pirkimo sutarties vykdymą yra: [vardas, pavardė, pareigos]. Užsakovo paskirtas asmuo. </w:t>
      </w:r>
    </w:p>
    <w:p w14:paraId="453DDAC8"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Ši sutartis sudaryta lietuvių kalba 2 egzemplioriais, kurių kiekvienas, pasirašytas visų sutarties šalių, laikomas originalu ir turi vienodą teisinę galią. Po vieną šiame punkte apibūdintą Sutarties egzempliorių įteikiama kiekvienai Šaliai. </w:t>
      </w:r>
    </w:p>
    <w:p w14:paraId="70FEF3A2"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Šalių parašai:</w:t>
      </w:r>
    </w:p>
    <w:p w14:paraId="7FD58AE7" w14:textId="77777777" w:rsidR="000E5459" w:rsidRDefault="000E5459" w:rsidP="000E5459">
      <w:pPr>
        <w:spacing w:after="160" w:line="259" w:lineRule="auto"/>
        <w:jc w:val="center"/>
        <w:rPr>
          <w:rFonts w:eastAsia="Calibri"/>
          <w:sz w:val="22"/>
          <w:szCs w:val="22"/>
        </w:rPr>
      </w:pPr>
    </w:p>
    <w:tbl>
      <w:tblPr>
        <w:tblW w:w="9360" w:type="dxa"/>
        <w:tblInd w:w="70" w:type="dxa"/>
        <w:tblLayout w:type="fixed"/>
        <w:tblCellMar>
          <w:left w:w="70" w:type="dxa"/>
          <w:right w:w="70" w:type="dxa"/>
        </w:tblCellMar>
        <w:tblLook w:val="0000" w:firstRow="0" w:lastRow="0" w:firstColumn="0" w:lastColumn="0" w:noHBand="0" w:noVBand="0"/>
      </w:tblPr>
      <w:tblGrid>
        <w:gridCol w:w="4788"/>
        <w:gridCol w:w="4572"/>
      </w:tblGrid>
      <w:tr w:rsidR="00EF57B0" w:rsidRPr="000E5459" w14:paraId="5D103461" w14:textId="77777777" w:rsidTr="005C2987">
        <w:tc>
          <w:tcPr>
            <w:tcW w:w="4788" w:type="dxa"/>
            <w:vAlign w:val="center"/>
          </w:tcPr>
          <w:p w14:paraId="68AC00BE" w14:textId="77777777" w:rsidR="00EF57B0" w:rsidRDefault="00EF57B0" w:rsidP="005C2987">
            <w:pPr>
              <w:spacing w:after="160" w:line="259" w:lineRule="auto"/>
              <w:jc w:val="center"/>
              <w:rPr>
                <w:rFonts w:eastAsia="Calibri"/>
                <w:sz w:val="22"/>
                <w:szCs w:val="22"/>
              </w:rPr>
            </w:pPr>
            <w:r w:rsidRPr="000E5459">
              <w:rPr>
                <w:rFonts w:eastAsia="Calibri"/>
                <w:b/>
                <w:sz w:val="22"/>
                <w:szCs w:val="22"/>
              </w:rPr>
              <w:t>UŽSAKOVAS</w:t>
            </w:r>
            <w:r w:rsidRPr="000E5459">
              <w:rPr>
                <w:rFonts w:eastAsia="Calibri"/>
                <w:sz w:val="22"/>
                <w:szCs w:val="22"/>
              </w:rPr>
              <w:t>:</w:t>
            </w:r>
          </w:p>
          <w:p w14:paraId="29A569A4" w14:textId="77777777" w:rsidR="00EF57B0" w:rsidRPr="00594E7B" w:rsidRDefault="00EF57B0" w:rsidP="005C2987">
            <w:pPr>
              <w:rPr>
                <w:rFonts w:eastAsia="Calibri"/>
                <w:sz w:val="22"/>
                <w:szCs w:val="22"/>
              </w:rPr>
            </w:pPr>
            <w:r w:rsidRPr="00594E7B">
              <w:rPr>
                <w:rFonts w:eastAsia="Calibri"/>
                <w:sz w:val="22"/>
                <w:szCs w:val="22"/>
              </w:rPr>
              <w:t xml:space="preserve">UAB „Kėdainių vandenys“ </w:t>
            </w:r>
          </w:p>
          <w:p w14:paraId="49D292A4" w14:textId="77777777" w:rsidR="00EF57B0" w:rsidRPr="00594E7B" w:rsidRDefault="00EF57B0" w:rsidP="005C2987">
            <w:pPr>
              <w:rPr>
                <w:rFonts w:eastAsia="Calibri"/>
                <w:sz w:val="22"/>
                <w:szCs w:val="22"/>
              </w:rPr>
            </w:pPr>
            <w:r w:rsidRPr="00594E7B">
              <w:rPr>
                <w:rFonts w:eastAsia="Calibri"/>
                <w:sz w:val="22"/>
                <w:szCs w:val="22"/>
              </w:rPr>
              <w:t>Dotnuvos g. 5, LT-57177</w:t>
            </w:r>
          </w:p>
          <w:p w14:paraId="2E508428" w14:textId="77777777" w:rsidR="00EF57B0" w:rsidRPr="00594E7B" w:rsidRDefault="00EF57B0" w:rsidP="005C2987">
            <w:pPr>
              <w:rPr>
                <w:rFonts w:eastAsia="Calibri"/>
                <w:sz w:val="22"/>
                <w:szCs w:val="22"/>
              </w:rPr>
            </w:pPr>
            <w:r w:rsidRPr="00594E7B">
              <w:rPr>
                <w:rFonts w:eastAsia="Calibri"/>
                <w:sz w:val="22"/>
                <w:szCs w:val="22"/>
              </w:rPr>
              <w:t xml:space="preserve">Kėdainiai </w:t>
            </w:r>
          </w:p>
          <w:p w14:paraId="61EABF8E" w14:textId="77777777" w:rsidR="00EF57B0" w:rsidRPr="00594E7B" w:rsidRDefault="00EF57B0" w:rsidP="005C2987">
            <w:pPr>
              <w:rPr>
                <w:rFonts w:eastAsia="Calibri"/>
                <w:sz w:val="22"/>
                <w:szCs w:val="22"/>
              </w:rPr>
            </w:pPr>
            <w:r w:rsidRPr="00594E7B">
              <w:rPr>
                <w:rFonts w:eastAsia="Calibri"/>
                <w:sz w:val="22"/>
                <w:szCs w:val="22"/>
              </w:rPr>
              <w:t xml:space="preserve">Įmonės k. 161186428 </w:t>
            </w:r>
          </w:p>
          <w:p w14:paraId="05C3A04D" w14:textId="77777777" w:rsidR="00EF57B0" w:rsidRPr="00594E7B" w:rsidRDefault="00EF57B0" w:rsidP="005C2987">
            <w:pPr>
              <w:rPr>
                <w:rFonts w:eastAsia="Calibri"/>
                <w:sz w:val="22"/>
                <w:szCs w:val="22"/>
              </w:rPr>
            </w:pPr>
            <w:r w:rsidRPr="00594E7B">
              <w:rPr>
                <w:rFonts w:eastAsia="Calibri"/>
                <w:sz w:val="22"/>
                <w:szCs w:val="22"/>
              </w:rPr>
              <w:t xml:space="preserve">PVM k. LT611864219 </w:t>
            </w:r>
          </w:p>
          <w:p w14:paraId="3CE96B29" w14:textId="77777777" w:rsidR="00EF57B0" w:rsidRPr="00594E7B" w:rsidRDefault="00EF57B0" w:rsidP="005C2987">
            <w:pPr>
              <w:rPr>
                <w:rFonts w:eastAsia="Calibri"/>
                <w:sz w:val="22"/>
                <w:szCs w:val="22"/>
              </w:rPr>
            </w:pPr>
            <w:r w:rsidRPr="00594E7B">
              <w:rPr>
                <w:rFonts w:eastAsia="Calibri"/>
                <w:sz w:val="22"/>
                <w:szCs w:val="22"/>
              </w:rPr>
              <w:t xml:space="preserve">Tel. +370-347-51341 </w:t>
            </w:r>
          </w:p>
          <w:p w14:paraId="61C0DEC8" w14:textId="77777777" w:rsidR="00EF57B0" w:rsidRPr="00594E7B" w:rsidRDefault="00EF57B0" w:rsidP="005C2987">
            <w:pPr>
              <w:rPr>
                <w:rFonts w:eastAsia="Calibri"/>
                <w:sz w:val="22"/>
                <w:szCs w:val="22"/>
              </w:rPr>
            </w:pPr>
            <w:r w:rsidRPr="00594E7B">
              <w:rPr>
                <w:rFonts w:eastAsia="Calibri"/>
                <w:sz w:val="22"/>
                <w:szCs w:val="22"/>
              </w:rPr>
              <w:t xml:space="preserve">El. p. admin@kedainiuvandenys.lt </w:t>
            </w:r>
          </w:p>
          <w:p w14:paraId="3F2F8529" w14:textId="77777777" w:rsidR="00EF57B0" w:rsidRPr="00594E7B" w:rsidRDefault="00EF57B0" w:rsidP="005C2987">
            <w:pPr>
              <w:rPr>
                <w:rFonts w:eastAsia="Calibri"/>
                <w:sz w:val="22"/>
                <w:szCs w:val="22"/>
              </w:rPr>
            </w:pPr>
            <w:r w:rsidRPr="00594E7B">
              <w:rPr>
                <w:rFonts w:eastAsia="Calibri"/>
                <w:sz w:val="22"/>
                <w:szCs w:val="22"/>
              </w:rPr>
              <w:t xml:space="preserve">A/s LT937300010002518830 </w:t>
            </w:r>
          </w:p>
          <w:p w14:paraId="1D143BF4" w14:textId="77777777" w:rsidR="00EF57B0" w:rsidRPr="00594E7B" w:rsidRDefault="00EF57B0" w:rsidP="005C2987">
            <w:pPr>
              <w:rPr>
                <w:rFonts w:eastAsia="Calibri"/>
                <w:sz w:val="22"/>
                <w:szCs w:val="22"/>
              </w:rPr>
            </w:pPr>
            <w:r w:rsidRPr="00594E7B">
              <w:rPr>
                <w:rFonts w:eastAsia="Calibri"/>
                <w:sz w:val="22"/>
                <w:szCs w:val="22"/>
              </w:rPr>
              <w:t xml:space="preserve">AB Swedbank </w:t>
            </w:r>
          </w:p>
          <w:p w14:paraId="2C4CD31D" w14:textId="77777777" w:rsidR="00EF57B0" w:rsidRPr="00594E7B" w:rsidRDefault="00EF57B0" w:rsidP="005C2987">
            <w:pPr>
              <w:rPr>
                <w:rFonts w:eastAsia="Calibri"/>
                <w:sz w:val="22"/>
                <w:szCs w:val="22"/>
              </w:rPr>
            </w:pPr>
            <w:r w:rsidRPr="00594E7B">
              <w:rPr>
                <w:rFonts w:eastAsia="Calibri"/>
                <w:sz w:val="22"/>
                <w:szCs w:val="22"/>
              </w:rPr>
              <w:t xml:space="preserve">Banko k. 73000 </w:t>
            </w:r>
          </w:p>
          <w:p w14:paraId="1A4BC05A" w14:textId="77777777" w:rsidR="00EF57B0" w:rsidRDefault="00EF57B0" w:rsidP="005C2987">
            <w:pPr>
              <w:spacing w:after="160" w:line="259" w:lineRule="auto"/>
              <w:jc w:val="center"/>
              <w:rPr>
                <w:rFonts w:eastAsia="Calibri"/>
                <w:sz w:val="22"/>
                <w:szCs w:val="22"/>
              </w:rPr>
            </w:pPr>
          </w:p>
          <w:p w14:paraId="671EF4BD" w14:textId="77777777" w:rsidR="00EF57B0" w:rsidRDefault="00EF57B0" w:rsidP="005C2987">
            <w:pPr>
              <w:spacing w:after="160" w:line="259" w:lineRule="auto"/>
              <w:rPr>
                <w:rFonts w:eastAsia="Calibri"/>
                <w:sz w:val="22"/>
                <w:szCs w:val="22"/>
              </w:rPr>
            </w:pPr>
            <w:r>
              <w:rPr>
                <w:rFonts w:eastAsia="Calibri"/>
                <w:sz w:val="22"/>
                <w:szCs w:val="22"/>
              </w:rPr>
              <w:t>(pareigos)</w:t>
            </w:r>
          </w:p>
          <w:p w14:paraId="299FF1C5" w14:textId="77777777" w:rsidR="00EF57B0" w:rsidRDefault="00EF57B0" w:rsidP="005C2987">
            <w:pPr>
              <w:spacing w:after="160" w:line="259" w:lineRule="auto"/>
              <w:rPr>
                <w:rFonts w:eastAsia="Calibri"/>
                <w:sz w:val="22"/>
                <w:szCs w:val="22"/>
              </w:rPr>
            </w:pPr>
            <w:r w:rsidRPr="004C082D">
              <w:rPr>
                <w:rFonts w:eastAsia="Calibri"/>
                <w:sz w:val="22"/>
                <w:szCs w:val="22"/>
              </w:rPr>
              <w:t>_______________________________</w:t>
            </w:r>
          </w:p>
          <w:p w14:paraId="780AD6C0" w14:textId="77777777" w:rsidR="00EF57B0" w:rsidRPr="000E5459" w:rsidRDefault="00EF57B0" w:rsidP="005C2987">
            <w:pPr>
              <w:spacing w:after="160" w:line="259" w:lineRule="auto"/>
              <w:rPr>
                <w:rFonts w:eastAsia="Calibri"/>
                <w:sz w:val="22"/>
                <w:szCs w:val="22"/>
              </w:rPr>
            </w:pPr>
            <w:r>
              <w:rPr>
                <w:rFonts w:eastAsia="Calibri"/>
                <w:sz w:val="22"/>
                <w:szCs w:val="22"/>
              </w:rPr>
              <w:t>(vardas, pavardė)</w:t>
            </w:r>
          </w:p>
        </w:tc>
        <w:tc>
          <w:tcPr>
            <w:tcW w:w="4572" w:type="dxa"/>
          </w:tcPr>
          <w:p w14:paraId="52DD68D4" w14:textId="77777777" w:rsidR="00EF57B0" w:rsidRDefault="00EF57B0" w:rsidP="005C2987">
            <w:pPr>
              <w:spacing w:after="160" w:line="259" w:lineRule="auto"/>
              <w:jc w:val="center"/>
              <w:rPr>
                <w:rFonts w:eastAsia="Calibri"/>
                <w:sz w:val="22"/>
                <w:szCs w:val="22"/>
              </w:rPr>
            </w:pPr>
            <w:r w:rsidRPr="000E5459">
              <w:rPr>
                <w:rFonts w:eastAsia="Calibri"/>
                <w:b/>
                <w:sz w:val="22"/>
                <w:szCs w:val="22"/>
              </w:rPr>
              <w:t>RANGOVAS</w:t>
            </w:r>
            <w:r w:rsidRPr="000E5459">
              <w:rPr>
                <w:rFonts w:eastAsia="Calibri"/>
                <w:sz w:val="22"/>
                <w:szCs w:val="22"/>
              </w:rPr>
              <w:t>:</w:t>
            </w:r>
          </w:p>
          <w:p w14:paraId="130B6835" w14:textId="77777777" w:rsidR="00EF57B0" w:rsidRDefault="00EF57B0" w:rsidP="005C2987">
            <w:pPr>
              <w:ind w:left="739"/>
              <w:rPr>
                <w:rFonts w:eastAsia="Calibri"/>
                <w:sz w:val="22"/>
                <w:szCs w:val="22"/>
              </w:rPr>
            </w:pPr>
            <w:r>
              <w:rPr>
                <w:rFonts w:eastAsia="Calibri"/>
                <w:sz w:val="22"/>
                <w:szCs w:val="22"/>
              </w:rPr>
              <w:t>UAB „Požeminės linijos“</w:t>
            </w:r>
          </w:p>
          <w:p w14:paraId="37A96EE7" w14:textId="77777777" w:rsidR="00EF57B0" w:rsidRDefault="00EF57B0" w:rsidP="005C2987">
            <w:pPr>
              <w:ind w:left="739"/>
              <w:rPr>
                <w:rFonts w:eastAsia="Calibri"/>
                <w:sz w:val="22"/>
                <w:szCs w:val="22"/>
              </w:rPr>
            </w:pPr>
            <w:r w:rsidRPr="004C082D">
              <w:rPr>
                <w:rFonts w:eastAsia="Calibri"/>
                <w:sz w:val="22"/>
                <w:szCs w:val="22"/>
              </w:rPr>
              <w:t>Energetikų g. 42, LT 52485 Kaunas</w:t>
            </w:r>
          </w:p>
          <w:p w14:paraId="7A106FDA" w14:textId="77777777" w:rsidR="00EF57B0" w:rsidRDefault="00EF57B0" w:rsidP="005C2987">
            <w:pPr>
              <w:ind w:left="739"/>
              <w:rPr>
                <w:rFonts w:eastAsia="Calibri"/>
                <w:sz w:val="22"/>
                <w:szCs w:val="22"/>
              </w:rPr>
            </w:pPr>
            <w:r w:rsidRPr="004C082D">
              <w:rPr>
                <w:rFonts w:eastAsia="Calibri"/>
                <w:sz w:val="22"/>
                <w:szCs w:val="22"/>
              </w:rPr>
              <w:t>Įmonės k.</w:t>
            </w:r>
            <w:r>
              <w:rPr>
                <w:rFonts w:eastAsia="Calibri"/>
                <w:sz w:val="22"/>
                <w:szCs w:val="22"/>
              </w:rPr>
              <w:t xml:space="preserve"> 1</w:t>
            </w:r>
            <w:r w:rsidRPr="004C082D">
              <w:rPr>
                <w:rFonts w:eastAsia="Calibri"/>
                <w:sz w:val="22"/>
                <w:szCs w:val="22"/>
              </w:rPr>
              <w:t>60427431</w:t>
            </w:r>
          </w:p>
          <w:p w14:paraId="639FF987" w14:textId="77777777" w:rsidR="00EF57B0" w:rsidRDefault="00EF57B0" w:rsidP="005C2987">
            <w:pPr>
              <w:ind w:left="739"/>
              <w:rPr>
                <w:rFonts w:eastAsia="Calibri"/>
                <w:sz w:val="22"/>
                <w:szCs w:val="22"/>
              </w:rPr>
            </w:pPr>
            <w:r w:rsidRPr="004C082D">
              <w:rPr>
                <w:rFonts w:eastAsia="Calibri"/>
                <w:sz w:val="22"/>
                <w:szCs w:val="22"/>
              </w:rPr>
              <w:t>PVM k.</w:t>
            </w:r>
            <w:r>
              <w:rPr>
                <w:rFonts w:eastAsia="Calibri"/>
                <w:sz w:val="22"/>
                <w:szCs w:val="22"/>
              </w:rPr>
              <w:t xml:space="preserve"> </w:t>
            </w:r>
            <w:r w:rsidRPr="004C082D">
              <w:rPr>
                <w:rFonts w:eastAsia="Calibri"/>
                <w:sz w:val="22"/>
                <w:szCs w:val="22"/>
              </w:rPr>
              <w:t>LT604274314</w:t>
            </w:r>
          </w:p>
          <w:p w14:paraId="0B348949" w14:textId="77777777" w:rsidR="00EF57B0" w:rsidRPr="004C082D" w:rsidRDefault="00EF57B0" w:rsidP="005C2987">
            <w:pPr>
              <w:ind w:left="739"/>
              <w:rPr>
                <w:rFonts w:eastAsia="Calibri"/>
                <w:sz w:val="22"/>
                <w:szCs w:val="22"/>
              </w:rPr>
            </w:pPr>
            <w:r w:rsidRPr="004C082D">
              <w:rPr>
                <w:rFonts w:eastAsia="Calibri"/>
                <w:sz w:val="22"/>
                <w:szCs w:val="22"/>
              </w:rPr>
              <w:t>Tel. +370</w:t>
            </w:r>
            <w:r>
              <w:rPr>
                <w:rFonts w:eastAsia="Calibri"/>
                <w:sz w:val="22"/>
                <w:szCs w:val="22"/>
              </w:rPr>
              <w:t xml:space="preserve"> 37 338676</w:t>
            </w:r>
            <w:r w:rsidRPr="004C082D">
              <w:rPr>
                <w:rFonts w:eastAsia="Calibri"/>
                <w:sz w:val="22"/>
                <w:szCs w:val="22"/>
              </w:rPr>
              <w:t xml:space="preserve"> </w:t>
            </w:r>
          </w:p>
          <w:p w14:paraId="798375CE" w14:textId="77777777" w:rsidR="00EF57B0" w:rsidRDefault="00EF57B0" w:rsidP="005C2987">
            <w:pPr>
              <w:ind w:left="739"/>
              <w:rPr>
                <w:rFonts w:eastAsia="Calibri"/>
                <w:sz w:val="22"/>
                <w:szCs w:val="22"/>
              </w:rPr>
            </w:pPr>
            <w:r w:rsidRPr="004C082D">
              <w:rPr>
                <w:rFonts w:eastAsia="Calibri"/>
                <w:sz w:val="22"/>
                <w:szCs w:val="22"/>
              </w:rPr>
              <w:t>El. p. info@poli.lt</w:t>
            </w:r>
          </w:p>
          <w:p w14:paraId="434B5A32" w14:textId="77777777" w:rsidR="00EF57B0" w:rsidRDefault="00EF57B0" w:rsidP="005C2987">
            <w:pPr>
              <w:ind w:left="739"/>
              <w:rPr>
                <w:rFonts w:eastAsia="Calibri"/>
                <w:sz w:val="22"/>
                <w:szCs w:val="22"/>
              </w:rPr>
            </w:pPr>
            <w:r>
              <w:rPr>
                <w:rFonts w:eastAsia="Calibri"/>
                <w:sz w:val="22"/>
                <w:szCs w:val="22"/>
              </w:rPr>
              <w:t xml:space="preserve">A/s </w:t>
            </w:r>
            <w:r w:rsidRPr="004C082D">
              <w:rPr>
                <w:rFonts w:eastAsia="Calibri"/>
                <w:sz w:val="22"/>
                <w:szCs w:val="22"/>
              </w:rPr>
              <w:t>LT327290000002467224</w:t>
            </w:r>
          </w:p>
          <w:p w14:paraId="3CCFFB78" w14:textId="77777777" w:rsidR="00EF57B0" w:rsidRPr="004C082D" w:rsidRDefault="00EF57B0" w:rsidP="005C2987">
            <w:pPr>
              <w:ind w:left="739"/>
              <w:rPr>
                <w:rFonts w:eastAsia="Calibri"/>
                <w:sz w:val="22"/>
                <w:szCs w:val="22"/>
              </w:rPr>
            </w:pPr>
            <w:r w:rsidRPr="004C082D">
              <w:rPr>
                <w:rFonts w:eastAsia="Calibri"/>
                <w:sz w:val="22"/>
                <w:szCs w:val="22"/>
              </w:rPr>
              <w:t>AB Citadele bankas</w:t>
            </w:r>
          </w:p>
          <w:p w14:paraId="11EEF321" w14:textId="77777777" w:rsidR="00EF57B0" w:rsidRDefault="00EF57B0" w:rsidP="005C2987">
            <w:pPr>
              <w:spacing w:after="160" w:line="259" w:lineRule="auto"/>
              <w:ind w:left="739"/>
              <w:rPr>
                <w:rFonts w:eastAsia="Calibri"/>
                <w:sz w:val="22"/>
                <w:szCs w:val="22"/>
              </w:rPr>
            </w:pPr>
            <w:r w:rsidRPr="004C082D">
              <w:rPr>
                <w:rFonts w:eastAsia="Calibri"/>
                <w:sz w:val="22"/>
                <w:szCs w:val="22"/>
              </w:rPr>
              <w:t>Banko k.</w:t>
            </w:r>
            <w:r>
              <w:rPr>
                <w:rFonts w:eastAsia="Calibri"/>
                <w:sz w:val="22"/>
                <w:szCs w:val="22"/>
              </w:rPr>
              <w:t xml:space="preserve"> 72900</w:t>
            </w:r>
          </w:p>
          <w:p w14:paraId="16F1E5E0" w14:textId="77777777" w:rsidR="00EF57B0" w:rsidRDefault="00EF57B0" w:rsidP="005C2987">
            <w:pPr>
              <w:spacing w:after="160" w:line="259" w:lineRule="auto"/>
              <w:ind w:left="739"/>
              <w:rPr>
                <w:rFonts w:eastAsia="Calibri"/>
                <w:sz w:val="22"/>
                <w:szCs w:val="22"/>
              </w:rPr>
            </w:pPr>
          </w:p>
          <w:p w14:paraId="56B3C03F" w14:textId="4B49A1C7" w:rsidR="008C2A4E" w:rsidRPr="008C2A4E" w:rsidRDefault="008C2A4E" w:rsidP="008C2A4E">
            <w:pPr>
              <w:spacing w:after="160" w:line="259" w:lineRule="auto"/>
              <w:ind w:left="739"/>
              <w:rPr>
                <w:rFonts w:eastAsia="Calibri"/>
                <w:sz w:val="22"/>
                <w:szCs w:val="22"/>
              </w:rPr>
            </w:pPr>
            <w:r w:rsidRPr="008C2A4E">
              <w:rPr>
                <w:rFonts w:eastAsia="Calibri"/>
                <w:sz w:val="22"/>
                <w:szCs w:val="22"/>
              </w:rPr>
              <w:t>Vykdomasis direktorius</w:t>
            </w:r>
          </w:p>
          <w:p w14:paraId="48E30C13" w14:textId="77777777" w:rsidR="008C2A4E" w:rsidRPr="008C2A4E" w:rsidRDefault="008C2A4E" w:rsidP="008C2A4E">
            <w:pPr>
              <w:spacing w:after="160" w:line="259" w:lineRule="auto"/>
              <w:ind w:left="739"/>
              <w:rPr>
                <w:rFonts w:eastAsia="Calibri"/>
                <w:sz w:val="22"/>
                <w:szCs w:val="22"/>
              </w:rPr>
            </w:pPr>
            <w:r w:rsidRPr="008C2A4E">
              <w:rPr>
                <w:rFonts w:eastAsia="Calibri"/>
                <w:sz w:val="22"/>
                <w:szCs w:val="22"/>
              </w:rPr>
              <w:t>_______________________________</w:t>
            </w:r>
          </w:p>
          <w:p w14:paraId="495310EA" w14:textId="77777777" w:rsidR="008C2A4E" w:rsidRPr="008C2A4E" w:rsidRDefault="008C2A4E" w:rsidP="008C2A4E">
            <w:pPr>
              <w:spacing w:after="160" w:line="259" w:lineRule="auto"/>
              <w:ind w:left="739"/>
              <w:rPr>
                <w:rFonts w:eastAsia="Calibri"/>
                <w:sz w:val="22"/>
                <w:szCs w:val="22"/>
              </w:rPr>
            </w:pPr>
            <w:r w:rsidRPr="008C2A4E">
              <w:rPr>
                <w:rFonts w:eastAsia="Calibri"/>
                <w:sz w:val="22"/>
                <w:szCs w:val="22"/>
              </w:rPr>
              <w:t>Andrius Kazickas</w:t>
            </w:r>
          </w:p>
          <w:p w14:paraId="217D4015" w14:textId="12BCBCF3" w:rsidR="00EF57B0" w:rsidRPr="000E5459" w:rsidRDefault="00EF57B0" w:rsidP="005C2987">
            <w:pPr>
              <w:spacing w:after="160" w:line="259" w:lineRule="auto"/>
              <w:ind w:left="739"/>
              <w:rPr>
                <w:rFonts w:eastAsia="Calibri"/>
                <w:sz w:val="22"/>
                <w:szCs w:val="22"/>
              </w:rPr>
            </w:pPr>
          </w:p>
        </w:tc>
      </w:tr>
    </w:tbl>
    <w:p w14:paraId="7E96579C" w14:textId="77777777" w:rsidR="00EF57B0" w:rsidRPr="000E5459" w:rsidRDefault="00EF57B0" w:rsidP="000E5459">
      <w:pPr>
        <w:spacing w:after="160" w:line="259" w:lineRule="auto"/>
        <w:jc w:val="center"/>
        <w:rPr>
          <w:rFonts w:eastAsia="Calibri"/>
          <w:sz w:val="22"/>
          <w:szCs w:val="22"/>
        </w:rPr>
      </w:pPr>
    </w:p>
    <w:p w14:paraId="0F132327" w14:textId="5DC44EB9" w:rsidR="00165BC5" w:rsidRPr="00EC49D7" w:rsidRDefault="000E5459" w:rsidP="00165BC5">
      <w:pPr>
        <w:jc w:val="center"/>
        <w:rPr>
          <w:b/>
          <w:bCs/>
          <w:caps/>
          <w:sz w:val="22"/>
          <w:szCs w:val="22"/>
        </w:rPr>
      </w:pPr>
      <w:r w:rsidRPr="000E5459">
        <w:rPr>
          <w:rFonts w:eastAsia="Calibri"/>
          <w:lang w:eastAsia="en-US"/>
        </w:rPr>
        <w:br w:type="page"/>
      </w:r>
    </w:p>
    <w:p w14:paraId="5F33A450" w14:textId="77777777" w:rsidR="000E5459" w:rsidRPr="000E5459" w:rsidRDefault="000E5459" w:rsidP="000E5459">
      <w:pPr>
        <w:jc w:val="center"/>
        <w:rPr>
          <w:b/>
          <w:bCs/>
          <w:caps/>
          <w:color w:val="1F497D"/>
          <w:sz w:val="22"/>
          <w:szCs w:val="22"/>
        </w:rPr>
      </w:pPr>
      <w:r w:rsidRPr="000E5459">
        <w:rPr>
          <w:b/>
          <w:bCs/>
          <w:caps/>
          <w:sz w:val="22"/>
          <w:szCs w:val="22"/>
        </w:rPr>
        <w:lastRenderedPageBreak/>
        <w:t>Bendrosios sutarties sąlygos</w:t>
      </w:r>
    </w:p>
    <w:p w14:paraId="5B338354" w14:textId="1C5FECB1" w:rsidR="000E5459" w:rsidRPr="000E5459" w:rsidRDefault="000E5459" w:rsidP="000E5459">
      <w:pPr>
        <w:jc w:val="center"/>
        <w:rPr>
          <w:b/>
          <w:color w:val="000000"/>
          <w:sz w:val="22"/>
          <w:szCs w:val="22"/>
        </w:rPr>
      </w:pPr>
      <w:r w:rsidRPr="000E5459">
        <w:rPr>
          <w:b/>
          <w:color w:val="000000"/>
          <w:sz w:val="22"/>
          <w:szCs w:val="22"/>
          <w:lang w:eastAsia="lt-LT"/>
        </w:rPr>
        <w:t xml:space="preserve">DĖL </w:t>
      </w:r>
      <w:r w:rsidR="00ED27E4" w:rsidRPr="00ED27E4">
        <w:rPr>
          <w:b/>
          <w:color w:val="000000"/>
          <w:sz w:val="22"/>
          <w:szCs w:val="22"/>
        </w:rPr>
        <w:t>VANDENTIEKIO IR NUOTEKŲ ŠALINIMO TINKLŲ NAUJOS STATYBOS</w:t>
      </w:r>
    </w:p>
    <w:p w14:paraId="6242076E" w14:textId="77777777" w:rsidR="000E5459" w:rsidRPr="000E5459" w:rsidRDefault="000E5459" w:rsidP="000E5459">
      <w:pPr>
        <w:jc w:val="both"/>
        <w:rPr>
          <w:sz w:val="22"/>
          <w:szCs w:val="22"/>
        </w:rPr>
      </w:pPr>
    </w:p>
    <w:p w14:paraId="1A23DF9B" w14:textId="77777777" w:rsidR="000E5459" w:rsidRPr="000E5459" w:rsidRDefault="000E5459" w:rsidP="000E5459">
      <w:pPr>
        <w:jc w:val="both"/>
        <w:rPr>
          <w:sz w:val="22"/>
          <w:szCs w:val="22"/>
        </w:rPr>
      </w:pPr>
    </w:p>
    <w:p w14:paraId="6D45EC36" w14:textId="77777777" w:rsidR="000E5459" w:rsidRPr="000E5459" w:rsidRDefault="000E5459" w:rsidP="000E5459">
      <w:pPr>
        <w:jc w:val="both"/>
        <w:rPr>
          <w:sz w:val="22"/>
          <w:szCs w:val="22"/>
        </w:rPr>
      </w:pPr>
      <w:r w:rsidRPr="000E5459">
        <w:rPr>
          <w:sz w:val="22"/>
          <w:szCs w:val="22"/>
        </w:rPr>
        <w:t xml:space="preserve">Bendrosios sutarties sąlygos yra: </w:t>
      </w:r>
    </w:p>
    <w:p w14:paraId="2E83C895" w14:textId="77777777" w:rsidR="000E5459" w:rsidRPr="000E5459" w:rsidRDefault="000E5459" w:rsidP="000E5459">
      <w:pPr>
        <w:jc w:val="both"/>
        <w:rPr>
          <w:rFonts w:eastAsia="Calibri"/>
          <w:sz w:val="22"/>
          <w:szCs w:val="22"/>
          <w:lang w:eastAsia="lt-LT"/>
        </w:rPr>
      </w:pPr>
    </w:p>
    <w:p w14:paraId="10B2C470"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sz w:val="22"/>
          <w:szCs w:val="22"/>
          <w:lang w:eastAsia="fr-FR"/>
        </w:rPr>
      </w:pPr>
      <w:bookmarkStart w:id="3" w:name="_Hlk113741319"/>
      <w:r w:rsidRPr="000E5459">
        <w:rPr>
          <w:i/>
          <w:iCs/>
          <w:sz w:val="22"/>
          <w:szCs w:val="22"/>
          <w:lang w:eastAsia="lt-LT"/>
        </w:rPr>
        <w:t>Fédération Internationale des</w:t>
      </w:r>
      <w:r w:rsidRPr="000E5459">
        <w:rPr>
          <w:i/>
          <w:iCs/>
          <w:sz w:val="22"/>
          <w:szCs w:val="22"/>
        </w:rPr>
        <w:t xml:space="preserve"> </w:t>
      </w:r>
      <w:r w:rsidRPr="000E5459">
        <w:rPr>
          <w:i/>
          <w:iCs/>
          <w:sz w:val="22"/>
          <w:szCs w:val="22"/>
          <w:lang w:eastAsia="fr-FR"/>
        </w:rPr>
        <w:t xml:space="preserve">Ingénieurs-Conseils </w:t>
      </w:r>
      <w:r w:rsidRPr="000E5459">
        <w:rPr>
          <w:sz w:val="22"/>
          <w:szCs w:val="22"/>
          <w:lang w:eastAsia="fr-FR"/>
        </w:rPr>
        <w:t>(FIDIC)</w:t>
      </w:r>
    </w:p>
    <w:p w14:paraId="3526BB07"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sz w:val="22"/>
          <w:szCs w:val="22"/>
          <w:lang w:eastAsia="fr-FR"/>
        </w:rPr>
      </w:pPr>
    </w:p>
    <w:p w14:paraId="29E1DA2E"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sz w:val="22"/>
          <w:szCs w:val="22"/>
          <w:lang w:eastAsia="en-US"/>
        </w:rPr>
      </w:pPr>
      <w:r w:rsidRPr="000E5459">
        <w:rPr>
          <w:sz w:val="22"/>
          <w:szCs w:val="22"/>
        </w:rPr>
        <w:t xml:space="preserve">Užsakovo suprojektuotų statybos ir inžinerinių darbų, elektros ir mechanikos įrenginių </w:t>
      </w:r>
    </w:p>
    <w:p w14:paraId="587BD9FF"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b/>
          <w:bCs/>
          <w:sz w:val="22"/>
          <w:szCs w:val="22"/>
        </w:rPr>
      </w:pPr>
      <w:r w:rsidRPr="000E5459">
        <w:rPr>
          <w:b/>
          <w:bCs/>
          <w:sz w:val="22"/>
          <w:szCs w:val="22"/>
        </w:rPr>
        <w:t>statybos bei įrangos sutarties sąlygos</w:t>
      </w:r>
    </w:p>
    <w:p w14:paraId="2266E9D3" w14:textId="2708055D" w:rsidR="000E5459" w:rsidRPr="000E5459" w:rsidRDefault="000E5459" w:rsidP="000E5459">
      <w:pPr>
        <w:pBdr>
          <w:top w:val="single" w:sz="4" w:space="1" w:color="auto"/>
          <w:left w:val="single" w:sz="4" w:space="27" w:color="auto"/>
          <w:bottom w:val="single" w:sz="4" w:space="1" w:color="auto"/>
          <w:right w:val="single" w:sz="4" w:space="4" w:color="auto"/>
        </w:pBdr>
        <w:tabs>
          <w:tab w:val="left" w:pos="7515"/>
          <w:tab w:val="left" w:leader="dot" w:pos="9540"/>
          <w:tab w:val="right" w:pos="9936"/>
        </w:tabs>
        <w:ind w:left="851" w:right="283"/>
        <w:jc w:val="center"/>
        <w:rPr>
          <w:sz w:val="22"/>
          <w:szCs w:val="22"/>
        </w:rPr>
      </w:pPr>
      <w:r w:rsidRPr="000E5459">
        <w:rPr>
          <w:sz w:val="22"/>
          <w:szCs w:val="22"/>
        </w:rPr>
        <w:t>FIDIC „Raudonoji“ knyga</w:t>
      </w:r>
    </w:p>
    <w:p w14:paraId="6125037D"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left" w:pos="7515"/>
          <w:tab w:val="left" w:leader="dot" w:pos="9540"/>
          <w:tab w:val="right" w:pos="9936"/>
        </w:tabs>
        <w:ind w:left="851" w:right="283"/>
        <w:jc w:val="center"/>
        <w:rPr>
          <w:sz w:val="22"/>
          <w:szCs w:val="22"/>
          <w:lang w:eastAsia="fr-FR"/>
        </w:rPr>
      </w:pPr>
    </w:p>
    <w:bookmarkEnd w:id="3"/>
    <w:p w14:paraId="30839544" w14:textId="77777777" w:rsidR="000E5459" w:rsidRPr="000E5459" w:rsidRDefault="000E5459" w:rsidP="000E5459">
      <w:pPr>
        <w:tabs>
          <w:tab w:val="right" w:pos="9936"/>
        </w:tabs>
        <w:spacing w:before="120" w:after="120"/>
        <w:jc w:val="center"/>
        <w:rPr>
          <w:sz w:val="22"/>
          <w:szCs w:val="22"/>
          <w:lang w:eastAsia="fr-FR"/>
        </w:rPr>
      </w:pPr>
      <w:r w:rsidRPr="000E5459">
        <w:rPr>
          <w:sz w:val="22"/>
          <w:szCs w:val="22"/>
          <w:lang w:eastAsia="fr-FR"/>
        </w:rPr>
        <w:t>Pirmas leidimas lietuvių kalba, 2022</w:t>
      </w:r>
    </w:p>
    <w:p w14:paraId="2E46F4CF" w14:textId="77777777" w:rsidR="000E5459" w:rsidRDefault="000E5459" w:rsidP="000E5459">
      <w:pPr>
        <w:tabs>
          <w:tab w:val="right" w:pos="9936"/>
        </w:tabs>
        <w:spacing w:before="120" w:after="120"/>
        <w:jc w:val="center"/>
        <w:rPr>
          <w:sz w:val="22"/>
          <w:szCs w:val="22"/>
          <w:lang w:eastAsia="fr-FR"/>
        </w:rPr>
      </w:pPr>
      <w:r w:rsidRPr="000E5459">
        <w:rPr>
          <w:sz w:val="22"/>
          <w:szCs w:val="22"/>
          <w:lang w:eastAsia="fr-FR"/>
        </w:rPr>
        <w:t>ISBN 978-609-417-234-2</w:t>
      </w:r>
    </w:p>
    <w:p w14:paraId="3D48D277" w14:textId="77777777" w:rsidR="000E5459" w:rsidRDefault="000E5459" w:rsidP="000E5459">
      <w:pPr>
        <w:tabs>
          <w:tab w:val="right" w:pos="9936"/>
        </w:tabs>
        <w:spacing w:before="120" w:after="120"/>
        <w:jc w:val="both"/>
        <w:rPr>
          <w:sz w:val="22"/>
          <w:szCs w:val="22"/>
          <w:lang w:eastAsia="fr-FR"/>
        </w:rPr>
      </w:pPr>
    </w:p>
    <w:p w14:paraId="004F32BF" w14:textId="732A6A9C" w:rsidR="000E5459" w:rsidRPr="000E5459" w:rsidRDefault="000E5459" w:rsidP="000E5459">
      <w:pPr>
        <w:tabs>
          <w:tab w:val="right" w:pos="9936"/>
        </w:tabs>
        <w:spacing w:before="120" w:after="120"/>
        <w:jc w:val="both"/>
        <w:rPr>
          <w:b/>
          <w:sz w:val="22"/>
          <w:szCs w:val="22"/>
        </w:rPr>
      </w:pPr>
      <w:r w:rsidRPr="000E5459">
        <w:rPr>
          <w:b/>
          <w:sz w:val="22"/>
          <w:szCs w:val="22"/>
        </w:rPr>
        <w:t>Bendrųjų sutarties sąlygų taikymas</w:t>
      </w:r>
    </w:p>
    <w:p w14:paraId="795A88B3" w14:textId="127178B2" w:rsidR="000E5459" w:rsidRPr="000E5459" w:rsidRDefault="000E5459" w:rsidP="000E5459">
      <w:pPr>
        <w:numPr>
          <w:ilvl w:val="0"/>
          <w:numId w:val="4"/>
        </w:numPr>
        <w:tabs>
          <w:tab w:val="right" w:pos="9936"/>
        </w:tabs>
        <w:spacing w:before="120" w:after="120"/>
        <w:jc w:val="both"/>
        <w:rPr>
          <w:sz w:val="22"/>
          <w:szCs w:val="22"/>
        </w:rPr>
      </w:pPr>
      <w:r w:rsidRPr="000E5459">
        <w:rPr>
          <w:sz w:val="22"/>
          <w:szCs w:val="22"/>
        </w:rPr>
        <w:t xml:space="preserve">Bendrosios FIDIC sutarties sąlygos taikomos sutinkamai su STR </w:t>
      </w:r>
      <w:r w:rsidRPr="000E5459">
        <w:rPr>
          <w:bCs/>
          <w:sz w:val="22"/>
          <w:szCs w:val="22"/>
        </w:rPr>
        <w:t>1.06.01:2016</w:t>
      </w:r>
      <w:r w:rsidRPr="000E5459">
        <w:rPr>
          <w:sz w:val="22"/>
          <w:szCs w:val="22"/>
        </w:rPr>
        <w:t xml:space="preserve"> „S</w:t>
      </w:r>
      <w:r w:rsidRPr="000E5459">
        <w:rPr>
          <w:bCs/>
          <w:sz w:val="22"/>
          <w:szCs w:val="22"/>
        </w:rPr>
        <w:t>tatybos darbai. Statinio statybos priežiūra</w:t>
      </w:r>
      <w:r w:rsidRPr="000E5459">
        <w:rPr>
          <w:sz w:val="22"/>
          <w:szCs w:val="22"/>
        </w:rPr>
        <w:t>“ (2016-12-02 įsakymas Nr. D1-848) 2 punkto nuostatomis.</w:t>
      </w:r>
    </w:p>
    <w:p w14:paraId="03E0E59E" w14:textId="77777777" w:rsidR="00ED27E4" w:rsidRPr="00ED27E4" w:rsidRDefault="000E5459" w:rsidP="008C41D4">
      <w:pPr>
        <w:numPr>
          <w:ilvl w:val="0"/>
          <w:numId w:val="4"/>
        </w:numPr>
        <w:tabs>
          <w:tab w:val="right" w:pos="9936"/>
        </w:tabs>
        <w:spacing w:before="120" w:after="120"/>
        <w:jc w:val="both"/>
        <w:rPr>
          <w:b/>
          <w:bCs/>
          <w:caps/>
          <w:sz w:val="22"/>
          <w:szCs w:val="22"/>
        </w:rPr>
      </w:pPr>
      <w:r w:rsidRPr="000E5459">
        <w:rPr>
          <w:sz w:val="22"/>
          <w:szCs w:val="22"/>
        </w:rPr>
        <w:t>Esant kokiems nors prieštaravimams ar neatitikimams tarp atitinkamų Bendrųjų sutarties sąlygų ir Konkrečių sutarties sąlygų straipsnių, viršenybę turi Konkrečios sutarties sąlygos. Straipsnių nuostatos, nepakeistos Konkrečiose sutarties sąlygose, galioja tokios redakcijos, kokia jos yra pateiktos Bendrosiose sutarties sąlygose.</w:t>
      </w:r>
    </w:p>
    <w:p w14:paraId="2E819BC1" w14:textId="1E8876A3" w:rsidR="00165BC5" w:rsidRPr="00ED27E4" w:rsidRDefault="00ED27E4" w:rsidP="008C41D4">
      <w:pPr>
        <w:numPr>
          <w:ilvl w:val="0"/>
          <w:numId w:val="4"/>
        </w:numPr>
        <w:tabs>
          <w:tab w:val="right" w:pos="9936"/>
        </w:tabs>
        <w:spacing w:before="120" w:after="120"/>
        <w:jc w:val="both"/>
        <w:rPr>
          <w:b/>
          <w:bCs/>
          <w:caps/>
          <w:sz w:val="24"/>
          <w:szCs w:val="24"/>
        </w:rPr>
      </w:pPr>
      <w:r w:rsidRPr="00ED27E4">
        <w:rPr>
          <w:sz w:val="22"/>
          <w:szCs w:val="22"/>
        </w:rPr>
        <w:t>Sutarties bendrosios sąlygos nėra pridedamos, jas galima įsigyti iš oficialių FIDIC dokumentų platintojų Lietuvoje</w:t>
      </w:r>
      <w:r>
        <w:rPr>
          <w:sz w:val="22"/>
          <w:szCs w:val="22"/>
        </w:rPr>
        <w:t>.</w:t>
      </w:r>
      <w:r w:rsidR="00165BC5" w:rsidRPr="00ED27E4">
        <w:rPr>
          <w:b/>
          <w:bCs/>
          <w:caps/>
          <w:sz w:val="24"/>
          <w:szCs w:val="24"/>
        </w:rPr>
        <w:br w:type="page"/>
      </w:r>
    </w:p>
    <w:p w14:paraId="3D4100F3" w14:textId="77777777" w:rsidR="00165BC5" w:rsidRPr="00C761F0" w:rsidRDefault="006406BC" w:rsidP="006406BC">
      <w:pPr>
        <w:tabs>
          <w:tab w:val="right" w:pos="9936"/>
        </w:tabs>
        <w:jc w:val="right"/>
        <w:rPr>
          <w:b/>
          <w:bCs/>
          <w:caps/>
          <w:sz w:val="24"/>
          <w:szCs w:val="24"/>
        </w:rPr>
      </w:pPr>
      <w:r>
        <w:rPr>
          <w:b/>
          <w:bCs/>
          <w:caps/>
          <w:sz w:val="24"/>
          <w:szCs w:val="24"/>
        </w:rPr>
        <w:lastRenderedPageBreak/>
        <w:t>KONKREČI</w:t>
      </w:r>
      <w:r w:rsidR="00BF2B02">
        <w:rPr>
          <w:b/>
          <w:bCs/>
          <w:caps/>
          <w:sz w:val="24"/>
          <w:szCs w:val="24"/>
        </w:rPr>
        <w:t>ųjų</w:t>
      </w:r>
      <w:r>
        <w:rPr>
          <w:b/>
          <w:bCs/>
          <w:caps/>
          <w:sz w:val="24"/>
          <w:szCs w:val="24"/>
        </w:rPr>
        <w:t xml:space="preserve"> SĄLYG</w:t>
      </w:r>
      <w:r w:rsidR="00BF2B02">
        <w:rPr>
          <w:b/>
          <w:bCs/>
          <w:caps/>
          <w:sz w:val="24"/>
          <w:szCs w:val="24"/>
        </w:rPr>
        <w:t>ų A dalis – sutarties duomenų dalis</w:t>
      </w:r>
    </w:p>
    <w:p w14:paraId="01CE3FD9" w14:textId="77777777" w:rsidR="00165BC5" w:rsidRPr="00742740" w:rsidRDefault="00165BC5" w:rsidP="00165BC5">
      <w:pPr>
        <w:ind w:firstLine="720"/>
        <w:jc w:val="both"/>
        <w:rPr>
          <w:sz w:val="22"/>
          <w:szCs w:val="22"/>
        </w:rPr>
      </w:pPr>
    </w:p>
    <w:p w14:paraId="60742BF1" w14:textId="77777777" w:rsidR="00BF2B02" w:rsidRPr="00BF2B02" w:rsidRDefault="00BF2B02">
      <w:pPr>
        <w:rPr>
          <w:b/>
          <w:sz w:val="24"/>
          <w:szCs w:val="24"/>
        </w:rPr>
      </w:pPr>
      <w:r w:rsidRPr="00BF2B02">
        <w:rPr>
          <w:b/>
          <w:sz w:val="24"/>
          <w:szCs w:val="24"/>
        </w:rPr>
        <w:t>SUTARTIES DUOMENŲ DALIS</w:t>
      </w:r>
    </w:p>
    <w:p w14:paraId="63C69AA9" w14:textId="77777777" w:rsidR="00BF2B02" w:rsidRDefault="00BF2B02">
      <w:pPr>
        <w:rPr>
          <w:sz w:val="24"/>
          <w:szCs w:val="24"/>
        </w:rPr>
      </w:pPr>
    </w:p>
    <w:tbl>
      <w:tblPr>
        <w:tblStyle w:val="TableGridLight"/>
        <w:tblW w:w="9917" w:type="dxa"/>
        <w:tblBorders>
          <w:top w:val="none" w:sz="0" w:space="0" w:color="auto"/>
          <w:left w:val="none" w:sz="0" w:space="0" w:color="auto"/>
          <w:bottom w:val="none" w:sz="0" w:space="0" w:color="auto"/>
          <w:right w:val="none" w:sz="0" w:space="0" w:color="auto"/>
          <w:insideH w:val="dotDash" w:sz="4" w:space="0" w:color="auto"/>
          <w:insideV w:val="dotDash" w:sz="4" w:space="0" w:color="auto"/>
        </w:tblBorders>
        <w:tblLook w:val="04A0" w:firstRow="1" w:lastRow="0" w:firstColumn="1" w:lastColumn="0" w:noHBand="0" w:noVBand="1"/>
      </w:tblPr>
      <w:tblGrid>
        <w:gridCol w:w="1242"/>
        <w:gridCol w:w="5370"/>
        <w:gridCol w:w="3305"/>
      </w:tblGrid>
      <w:tr w:rsidR="002D6FBB" w:rsidRPr="002D6FBB" w14:paraId="48CB749F" w14:textId="77777777" w:rsidTr="002D6FBB">
        <w:trPr>
          <w:trHeight w:val="547"/>
        </w:trPr>
        <w:tc>
          <w:tcPr>
            <w:tcW w:w="1242" w:type="dxa"/>
            <w:tcBorders>
              <w:bottom w:val="single" w:sz="4" w:space="0" w:color="auto"/>
            </w:tcBorders>
          </w:tcPr>
          <w:p w14:paraId="55283BA1" w14:textId="77777777" w:rsidR="00BF2B02" w:rsidRPr="002D6FBB" w:rsidRDefault="00BF2B02" w:rsidP="002D6FBB">
            <w:pPr>
              <w:spacing w:before="120" w:after="120"/>
              <w:rPr>
                <w:b/>
                <w:sz w:val="22"/>
                <w:szCs w:val="24"/>
              </w:rPr>
            </w:pPr>
            <w:r w:rsidRPr="002D6FBB">
              <w:rPr>
                <w:b/>
                <w:sz w:val="22"/>
                <w:szCs w:val="24"/>
              </w:rPr>
              <w:t>Punktas</w:t>
            </w:r>
          </w:p>
        </w:tc>
        <w:tc>
          <w:tcPr>
            <w:tcW w:w="5370" w:type="dxa"/>
            <w:tcBorders>
              <w:bottom w:val="single" w:sz="4" w:space="0" w:color="auto"/>
            </w:tcBorders>
          </w:tcPr>
          <w:p w14:paraId="03848175" w14:textId="77777777" w:rsidR="00BF2B02" w:rsidRPr="002D6FBB" w:rsidRDefault="00BF2B02" w:rsidP="002D6FBB">
            <w:pPr>
              <w:spacing w:before="120" w:after="120"/>
              <w:rPr>
                <w:b/>
                <w:sz w:val="22"/>
                <w:szCs w:val="24"/>
              </w:rPr>
            </w:pPr>
            <w:r w:rsidRPr="002D6FBB">
              <w:rPr>
                <w:b/>
                <w:sz w:val="22"/>
                <w:szCs w:val="24"/>
              </w:rPr>
              <w:t>Pateiktini duomenys</w:t>
            </w:r>
          </w:p>
        </w:tc>
        <w:tc>
          <w:tcPr>
            <w:tcW w:w="3305" w:type="dxa"/>
            <w:tcBorders>
              <w:bottom w:val="single" w:sz="4" w:space="0" w:color="auto"/>
            </w:tcBorders>
          </w:tcPr>
          <w:p w14:paraId="0D67238C" w14:textId="77777777" w:rsidR="00BF2B02" w:rsidRPr="002D6FBB" w:rsidRDefault="00BF2B02" w:rsidP="002D6FBB">
            <w:pPr>
              <w:spacing w:before="120" w:after="120"/>
              <w:rPr>
                <w:b/>
                <w:sz w:val="22"/>
                <w:szCs w:val="24"/>
              </w:rPr>
            </w:pPr>
            <w:r w:rsidRPr="002D6FBB">
              <w:rPr>
                <w:b/>
                <w:sz w:val="22"/>
                <w:szCs w:val="24"/>
              </w:rPr>
              <w:t>Duomenys</w:t>
            </w:r>
          </w:p>
        </w:tc>
      </w:tr>
      <w:tr w:rsidR="002D6FBB" w:rsidRPr="002D6FBB" w14:paraId="12134330" w14:textId="77777777" w:rsidTr="002D6FBB">
        <w:trPr>
          <w:trHeight w:val="635"/>
        </w:trPr>
        <w:tc>
          <w:tcPr>
            <w:tcW w:w="1242" w:type="dxa"/>
            <w:tcBorders>
              <w:top w:val="single" w:sz="4" w:space="0" w:color="auto"/>
            </w:tcBorders>
          </w:tcPr>
          <w:p w14:paraId="4045CB88" w14:textId="77777777" w:rsidR="00BF2B02" w:rsidRPr="002D6FBB" w:rsidRDefault="001C22EA" w:rsidP="002D6FBB">
            <w:pPr>
              <w:spacing w:before="120" w:after="120"/>
              <w:jc w:val="both"/>
              <w:rPr>
                <w:sz w:val="22"/>
                <w:szCs w:val="24"/>
              </w:rPr>
            </w:pPr>
            <w:r w:rsidRPr="002D6FBB">
              <w:rPr>
                <w:sz w:val="22"/>
                <w:szCs w:val="24"/>
              </w:rPr>
              <w:t>1.1.23.</w:t>
            </w:r>
          </w:p>
        </w:tc>
        <w:tc>
          <w:tcPr>
            <w:tcW w:w="5370" w:type="dxa"/>
            <w:tcBorders>
              <w:top w:val="single" w:sz="4" w:space="0" w:color="auto"/>
            </w:tcBorders>
          </w:tcPr>
          <w:p w14:paraId="509DFD18" w14:textId="77777777" w:rsidR="00BF2B02" w:rsidRPr="002D6FBB" w:rsidRDefault="001C22EA" w:rsidP="002D6FBB">
            <w:pPr>
              <w:spacing w:before="120" w:after="120"/>
              <w:ind w:right="170"/>
              <w:jc w:val="both"/>
              <w:rPr>
                <w:sz w:val="22"/>
                <w:szCs w:val="24"/>
              </w:rPr>
            </w:pPr>
            <w:r w:rsidRPr="002D6FBB">
              <w:rPr>
                <w:sz w:val="22"/>
                <w:szCs w:val="24"/>
              </w:rPr>
              <w:t>Inžinieriaus pavadinimas (arba vardas ir pavardė) ir adresas</w:t>
            </w:r>
          </w:p>
        </w:tc>
        <w:tc>
          <w:tcPr>
            <w:tcW w:w="3305" w:type="dxa"/>
            <w:tcBorders>
              <w:top w:val="single" w:sz="4" w:space="0" w:color="auto"/>
            </w:tcBorders>
          </w:tcPr>
          <w:p w14:paraId="58034FA5" w14:textId="77777777" w:rsidR="00BF2B02" w:rsidRPr="002D6FBB" w:rsidRDefault="00BF2B02" w:rsidP="002D6FBB">
            <w:pPr>
              <w:spacing w:before="120" w:after="120"/>
              <w:ind w:left="170"/>
              <w:jc w:val="both"/>
              <w:rPr>
                <w:sz w:val="22"/>
                <w:szCs w:val="24"/>
              </w:rPr>
            </w:pPr>
          </w:p>
        </w:tc>
      </w:tr>
      <w:tr w:rsidR="002D6FBB" w:rsidRPr="002D6FBB" w14:paraId="62632E44" w14:textId="77777777" w:rsidTr="002D6FBB">
        <w:trPr>
          <w:trHeight w:val="504"/>
        </w:trPr>
        <w:tc>
          <w:tcPr>
            <w:tcW w:w="1242" w:type="dxa"/>
          </w:tcPr>
          <w:p w14:paraId="08053E8A" w14:textId="77777777" w:rsidR="00BF2B02" w:rsidRPr="002D6FBB" w:rsidRDefault="001C22EA" w:rsidP="002D6FBB">
            <w:pPr>
              <w:spacing w:before="120" w:after="120"/>
              <w:jc w:val="both"/>
              <w:rPr>
                <w:sz w:val="22"/>
                <w:szCs w:val="24"/>
              </w:rPr>
            </w:pPr>
            <w:r w:rsidRPr="002D6FBB">
              <w:rPr>
                <w:sz w:val="22"/>
                <w:szCs w:val="24"/>
              </w:rPr>
              <w:t>1.1.80.</w:t>
            </w:r>
          </w:p>
        </w:tc>
        <w:tc>
          <w:tcPr>
            <w:tcW w:w="5370" w:type="dxa"/>
          </w:tcPr>
          <w:p w14:paraId="4C3CED27" w14:textId="77777777" w:rsidR="00BF2B02" w:rsidRPr="002D6FBB" w:rsidRDefault="001C22EA" w:rsidP="002D6FBB">
            <w:pPr>
              <w:spacing w:before="120" w:after="120"/>
              <w:ind w:right="170"/>
              <w:jc w:val="both"/>
              <w:rPr>
                <w:sz w:val="22"/>
                <w:szCs w:val="24"/>
              </w:rPr>
            </w:pPr>
            <w:r w:rsidRPr="002D6FBB">
              <w:rPr>
                <w:sz w:val="22"/>
                <w:szCs w:val="24"/>
              </w:rPr>
              <w:t>Užbaigimo terminas</w:t>
            </w:r>
          </w:p>
        </w:tc>
        <w:tc>
          <w:tcPr>
            <w:tcW w:w="3305" w:type="dxa"/>
          </w:tcPr>
          <w:p w14:paraId="5862D3C6" w14:textId="4EC77FAE" w:rsidR="00BF2B02" w:rsidRPr="002D6FBB" w:rsidRDefault="00ED27E4" w:rsidP="002D6FBB">
            <w:pPr>
              <w:spacing w:before="120" w:after="120"/>
              <w:ind w:left="170"/>
              <w:jc w:val="both"/>
              <w:rPr>
                <w:sz w:val="22"/>
                <w:szCs w:val="24"/>
              </w:rPr>
            </w:pPr>
            <w:r>
              <w:rPr>
                <w:sz w:val="22"/>
                <w:szCs w:val="24"/>
              </w:rPr>
              <w:t>12</w:t>
            </w:r>
            <w:r w:rsidR="001C22EA" w:rsidRPr="000A2204">
              <w:rPr>
                <w:sz w:val="22"/>
                <w:szCs w:val="24"/>
              </w:rPr>
              <w:t xml:space="preserve"> mėnesi</w:t>
            </w:r>
            <w:r>
              <w:rPr>
                <w:sz w:val="22"/>
                <w:szCs w:val="24"/>
              </w:rPr>
              <w:t>ų</w:t>
            </w:r>
          </w:p>
        </w:tc>
      </w:tr>
      <w:tr w:rsidR="002D6FBB" w:rsidRPr="002D6FBB" w14:paraId="51FFF1E9" w14:textId="77777777" w:rsidTr="002D6FBB">
        <w:trPr>
          <w:trHeight w:val="714"/>
        </w:trPr>
        <w:tc>
          <w:tcPr>
            <w:tcW w:w="1242" w:type="dxa"/>
          </w:tcPr>
          <w:p w14:paraId="11F2D0A8" w14:textId="77777777" w:rsidR="00BF2B02" w:rsidRPr="002D6FBB" w:rsidRDefault="001C22EA" w:rsidP="002D6FBB">
            <w:pPr>
              <w:spacing w:before="120" w:after="120"/>
              <w:jc w:val="both"/>
              <w:rPr>
                <w:sz w:val="22"/>
                <w:szCs w:val="24"/>
              </w:rPr>
            </w:pPr>
            <w:r w:rsidRPr="002D6FBB">
              <w:rPr>
                <w:sz w:val="22"/>
                <w:szCs w:val="24"/>
              </w:rPr>
              <w:t>1.1.81.</w:t>
            </w:r>
          </w:p>
        </w:tc>
        <w:tc>
          <w:tcPr>
            <w:tcW w:w="5370" w:type="dxa"/>
          </w:tcPr>
          <w:p w14:paraId="2B3B6A5D" w14:textId="77777777" w:rsidR="00BF2B02" w:rsidRPr="002D6FBB" w:rsidRDefault="001C22EA" w:rsidP="002D6FBB">
            <w:pPr>
              <w:spacing w:before="120" w:after="120"/>
              <w:ind w:right="170"/>
              <w:jc w:val="both"/>
              <w:rPr>
                <w:sz w:val="22"/>
                <w:szCs w:val="24"/>
              </w:rPr>
            </w:pPr>
            <w:r w:rsidRPr="002D6FBB">
              <w:rPr>
                <w:sz w:val="22"/>
                <w:szCs w:val="24"/>
              </w:rPr>
              <w:t>Užsakovo pavadinimas ir adresas</w:t>
            </w:r>
          </w:p>
        </w:tc>
        <w:tc>
          <w:tcPr>
            <w:tcW w:w="3305" w:type="dxa"/>
          </w:tcPr>
          <w:p w14:paraId="216C4781" w14:textId="16EE3F4B" w:rsidR="00BF2B02" w:rsidRPr="002D6FBB" w:rsidRDefault="00ED27E4" w:rsidP="002D6FBB">
            <w:pPr>
              <w:spacing w:before="120" w:after="120"/>
              <w:ind w:left="170"/>
              <w:jc w:val="both"/>
              <w:rPr>
                <w:sz w:val="22"/>
                <w:szCs w:val="24"/>
              </w:rPr>
            </w:pPr>
            <w:r w:rsidRPr="00ED27E4">
              <w:rPr>
                <w:sz w:val="22"/>
                <w:szCs w:val="24"/>
              </w:rPr>
              <w:t>UAB „Kėdainių vandenys“, juridinio asmens kodas 161186428, kurios registruota buveinė yra Dotnuvos g. 5, LT-57177 Kėdainiai</w:t>
            </w:r>
          </w:p>
        </w:tc>
      </w:tr>
      <w:tr w:rsidR="002D6FBB" w:rsidRPr="002D6FBB" w14:paraId="4EEF1846" w14:textId="77777777" w:rsidTr="002D6FBB">
        <w:trPr>
          <w:trHeight w:val="355"/>
        </w:trPr>
        <w:tc>
          <w:tcPr>
            <w:tcW w:w="1242" w:type="dxa"/>
          </w:tcPr>
          <w:p w14:paraId="62F04D83" w14:textId="77777777" w:rsidR="00BF2B02" w:rsidRPr="002D6FBB" w:rsidRDefault="001C22EA" w:rsidP="002D6FBB">
            <w:pPr>
              <w:spacing w:before="120" w:after="120"/>
              <w:jc w:val="both"/>
              <w:rPr>
                <w:sz w:val="22"/>
                <w:szCs w:val="24"/>
              </w:rPr>
            </w:pPr>
            <w:r w:rsidRPr="002D6FBB">
              <w:rPr>
                <w:sz w:val="22"/>
                <w:szCs w:val="24"/>
              </w:rPr>
              <w:t>1.4.</w:t>
            </w:r>
          </w:p>
        </w:tc>
        <w:tc>
          <w:tcPr>
            <w:tcW w:w="5370" w:type="dxa"/>
          </w:tcPr>
          <w:p w14:paraId="37DA7A93" w14:textId="77777777" w:rsidR="00BF2B02" w:rsidRPr="002D6FBB" w:rsidRDefault="001C22EA" w:rsidP="002D6FBB">
            <w:pPr>
              <w:spacing w:before="120" w:after="120"/>
              <w:ind w:right="170"/>
              <w:jc w:val="both"/>
              <w:rPr>
                <w:sz w:val="22"/>
                <w:szCs w:val="24"/>
              </w:rPr>
            </w:pPr>
            <w:r w:rsidRPr="002D6FBB">
              <w:rPr>
                <w:sz w:val="22"/>
                <w:szCs w:val="24"/>
              </w:rPr>
              <w:t>Pagrindinė kalba</w:t>
            </w:r>
          </w:p>
        </w:tc>
        <w:tc>
          <w:tcPr>
            <w:tcW w:w="3305" w:type="dxa"/>
          </w:tcPr>
          <w:p w14:paraId="539D2707" w14:textId="77777777" w:rsidR="00BF2B02" w:rsidRPr="002D6FBB" w:rsidRDefault="001C22EA" w:rsidP="002D6FBB">
            <w:pPr>
              <w:spacing w:before="120" w:after="120"/>
              <w:ind w:left="170"/>
              <w:jc w:val="both"/>
              <w:rPr>
                <w:sz w:val="22"/>
                <w:szCs w:val="24"/>
              </w:rPr>
            </w:pPr>
            <w:r w:rsidRPr="002D6FBB">
              <w:rPr>
                <w:sz w:val="22"/>
                <w:szCs w:val="24"/>
              </w:rPr>
              <w:t>Lietuvių kalba</w:t>
            </w:r>
          </w:p>
        </w:tc>
      </w:tr>
      <w:tr w:rsidR="002D6FBB" w:rsidRPr="002D6FBB" w14:paraId="308D53A8" w14:textId="77777777" w:rsidTr="002D6FBB">
        <w:trPr>
          <w:trHeight w:val="714"/>
        </w:trPr>
        <w:tc>
          <w:tcPr>
            <w:tcW w:w="1242" w:type="dxa"/>
          </w:tcPr>
          <w:p w14:paraId="45832260" w14:textId="77777777" w:rsidR="001C22EA" w:rsidRPr="002D6FBB" w:rsidRDefault="001C22EA" w:rsidP="002D6FBB">
            <w:pPr>
              <w:spacing w:before="120" w:after="120"/>
              <w:jc w:val="both"/>
              <w:rPr>
                <w:sz w:val="22"/>
                <w:szCs w:val="24"/>
              </w:rPr>
            </w:pPr>
            <w:r w:rsidRPr="002D6FBB">
              <w:rPr>
                <w:sz w:val="22"/>
                <w:szCs w:val="24"/>
              </w:rPr>
              <w:t>1.15.</w:t>
            </w:r>
          </w:p>
        </w:tc>
        <w:tc>
          <w:tcPr>
            <w:tcW w:w="5370" w:type="dxa"/>
          </w:tcPr>
          <w:p w14:paraId="52CA9AC2" w14:textId="77777777" w:rsidR="001C22EA" w:rsidRPr="002D6FBB" w:rsidRDefault="001C22EA" w:rsidP="002D6FBB">
            <w:pPr>
              <w:spacing w:before="120" w:after="120"/>
              <w:ind w:right="170"/>
              <w:jc w:val="both"/>
              <w:rPr>
                <w:sz w:val="22"/>
                <w:szCs w:val="24"/>
              </w:rPr>
            </w:pPr>
            <w:r w:rsidRPr="002D6FBB">
              <w:rPr>
                <w:sz w:val="22"/>
                <w:szCs w:val="24"/>
              </w:rPr>
              <w:t>Bendra Rangovo atsakomybė Užsakovui pagal Sutartį</w:t>
            </w:r>
          </w:p>
        </w:tc>
        <w:tc>
          <w:tcPr>
            <w:tcW w:w="3305" w:type="dxa"/>
          </w:tcPr>
          <w:p w14:paraId="419FF52B" w14:textId="77777777" w:rsidR="001C22EA" w:rsidRPr="002D6FBB" w:rsidRDefault="001C22EA" w:rsidP="002D6FBB">
            <w:pPr>
              <w:spacing w:before="120" w:after="120"/>
              <w:ind w:left="170"/>
              <w:jc w:val="both"/>
              <w:rPr>
                <w:sz w:val="22"/>
                <w:szCs w:val="24"/>
              </w:rPr>
            </w:pPr>
            <w:r w:rsidRPr="002D6FBB">
              <w:rPr>
                <w:sz w:val="22"/>
                <w:szCs w:val="24"/>
              </w:rPr>
              <w:t>Sutarties suma (Eur su PVM)</w:t>
            </w:r>
          </w:p>
        </w:tc>
      </w:tr>
      <w:tr w:rsidR="002D6FBB" w:rsidRPr="002D6FBB" w14:paraId="7383F874" w14:textId="77777777" w:rsidTr="002D6FBB">
        <w:trPr>
          <w:trHeight w:val="355"/>
        </w:trPr>
        <w:tc>
          <w:tcPr>
            <w:tcW w:w="1242" w:type="dxa"/>
          </w:tcPr>
          <w:p w14:paraId="38CF1020" w14:textId="77777777" w:rsidR="001C22EA" w:rsidRPr="002D6FBB" w:rsidRDefault="001C22EA" w:rsidP="002D6FBB">
            <w:pPr>
              <w:spacing w:before="120" w:after="120"/>
              <w:jc w:val="both"/>
              <w:rPr>
                <w:sz w:val="22"/>
                <w:szCs w:val="24"/>
              </w:rPr>
            </w:pPr>
            <w:r w:rsidRPr="002D6FBB">
              <w:rPr>
                <w:sz w:val="22"/>
                <w:szCs w:val="24"/>
              </w:rPr>
              <w:t>4.2.</w:t>
            </w:r>
          </w:p>
        </w:tc>
        <w:tc>
          <w:tcPr>
            <w:tcW w:w="5370" w:type="dxa"/>
          </w:tcPr>
          <w:p w14:paraId="7AAA6906" w14:textId="77777777" w:rsidR="001C22EA" w:rsidRPr="002D6FBB" w:rsidRDefault="001C22EA" w:rsidP="002D6FBB">
            <w:pPr>
              <w:spacing w:before="120" w:after="120"/>
              <w:ind w:right="170"/>
              <w:jc w:val="both"/>
              <w:rPr>
                <w:sz w:val="22"/>
                <w:szCs w:val="24"/>
              </w:rPr>
            </w:pPr>
            <w:r w:rsidRPr="002D6FBB">
              <w:rPr>
                <w:sz w:val="22"/>
                <w:szCs w:val="24"/>
              </w:rPr>
              <w:t>Prievolių įvykdymo užtikrinimas (procentinė Priimtos sutarties sumos dalis (be PVM))</w:t>
            </w:r>
          </w:p>
        </w:tc>
        <w:tc>
          <w:tcPr>
            <w:tcW w:w="3305" w:type="dxa"/>
          </w:tcPr>
          <w:p w14:paraId="768BFD5E" w14:textId="77777777" w:rsidR="001C22EA" w:rsidRPr="002D6FBB" w:rsidRDefault="001C22EA" w:rsidP="002D6FBB">
            <w:pPr>
              <w:spacing w:before="120" w:after="120"/>
              <w:ind w:left="170"/>
              <w:rPr>
                <w:sz w:val="22"/>
                <w:szCs w:val="24"/>
              </w:rPr>
            </w:pPr>
            <w:r w:rsidRPr="002D6FBB">
              <w:rPr>
                <w:sz w:val="22"/>
                <w:szCs w:val="24"/>
              </w:rPr>
              <w:t xml:space="preserve">5 </w:t>
            </w:r>
            <w:r w:rsidR="00492B81" w:rsidRPr="002D6FBB">
              <w:rPr>
                <w:sz w:val="22"/>
                <w:szCs w:val="24"/>
              </w:rPr>
              <w:t xml:space="preserve">(penki) </w:t>
            </w:r>
            <w:r w:rsidRPr="002D6FBB">
              <w:rPr>
                <w:sz w:val="22"/>
                <w:szCs w:val="24"/>
              </w:rPr>
              <w:t>proc.</w:t>
            </w:r>
          </w:p>
        </w:tc>
      </w:tr>
      <w:tr w:rsidR="002D6FBB" w:rsidRPr="002D6FBB" w14:paraId="22DA5153" w14:textId="77777777" w:rsidTr="002D6FBB">
        <w:trPr>
          <w:trHeight w:val="355"/>
        </w:trPr>
        <w:tc>
          <w:tcPr>
            <w:tcW w:w="1242" w:type="dxa"/>
          </w:tcPr>
          <w:p w14:paraId="28DF7D58" w14:textId="77777777" w:rsidR="001C22EA" w:rsidRPr="002D6FBB" w:rsidRDefault="001C22EA" w:rsidP="002D6FBB">
            <w:pPr>
              <w:spacing w:before="120" w:after="120"/>
              <w:jc w:val="both"/>
              <w:rPr>
                <w:sz w:val="22"/>
                <w:szCs w:val="24"/>
              </w:rPr>
            </w:pPr>
            <w:r w:rsidRPr="002D6FBB">
              <w:rPr>
                <w:sz w:val="22"/>
                <w:szCs w:val="24"/>
              </w:rPr>
              <w:t>8.8.</w:t>
            </w:r>
          </w:p>
        </w:tc>
        <w:tc>
          <w:tcPr>
            <w:tcW w:w="5370" w:type="dxa"/>
          </w:tcPr>
          <w:p w14:paraId="20D84E8B" w14:textId="77777777" w:rsidR="001C22EA" w:rsidRPr="002D6FBB" w:rsidRDefault="00492B81" w:rsidP="002D6FBB">
            <w:pPr>
              <w:spacing w:before="120" w:after="120"/>
              <w:ind w:right="170"/>
              <w:jc w:val="both"/>
              <w:rPr>
                <w:sz w:val="22"/>
                <w:szCs w:val="24"/>
              </w:rPr>
            </w:pPr>
            <w:r w:rsidRPr="002D6FBB">
              <w:rPr>
                <w:sz w:val="22"/>
                <w:szCs w:val="24"/>
              </w:rPr>
              <w:t>Netesybos dėl vėlavimo, mokamos už kiekvieną vėlavimo dieną</w:t>
            </w:r>
          </w:p>
        </w:tc>
        <w:tc>
          <w:tcPr>
            <w:tcW w:w="3305" w:type="dxa"/>
          </w:tcPr>
          <w:p w14:paraId="2549FF77" w14:textId="150E2ECD" w:rsidR="00492B81" w:rsidRPr="002D6FBB" w:rsidRDefault="00ED27E4" w:rsidP="002D6FBB">
            <w:pPr>
              <w:spacing w:before="120" w:after="120"/>
              <w:ind w:left="170"/>
              <w:jc w:val="both"/>
              <w:rPr>
                <w:sz w:val="22"/>
                <w:szCs w:val="24"/>
              </w:rPr>
            </w:pPr>
            <w:r>
              <w:rPr>
                <w:sz w:val="22"/>
                <w:szCs w:val="24"/>
              </w:rPr>
              <w:t>0,05 proc. Sutarties vertės</w:t>
            </w:r>
          </w:p>
        </w:tc>
      </w:tr>
      <w:tr w:rsidR="00492B81" w:rsidRPr="002D6FBB" w14:paraId="248E23B5" w14:textId="77777777" w:rsidTr="002D6FBB">
        <w:trPr>
          <w:trHeight w:val="355"/>
        </w:trPr>
        <w:tc>
          <w:tcPr>
            <w:tcW w:w="1242" w:type="dxa"/>
          </w:tcPr>
          <w:p w14:paraId="2C6E8F81" w14:textId="77777777" w:rsidR="00492B81" w:rsidRPr="002D6FBB" w:rsidRDefault="00492B81" w:rsidP="002D6FBB">
            <w:pPr>
              <w:spacing w:before="120" w:after="120"/>
              <w:jc w:val="both"/>
              <w:rPr>
                <w:sz w:val="22"/>
                <w:szCs w:val="24"/>
              </w:rPr>
            </w:pPr>
            <w:r w:rsidRPr="002D6FBB">
              <w:rPr>
                <w:sz w:val="22"/>
                <w:szCs w:val="24"/>
              </w:rPr>
              <w:t>12.2.</w:t>
            </w:r>
          </w:p>
        </w:tc>
        <w:tc>
          <w:tcPr>
            <w:tcW w:w="5370" w:type="dxa"/>
          </w:tcPr>
          <w:p w14:paraId="2884241A" w14:textId="77777777" w:rsidR="00492B81" w:rsidRPr="002D6FBB" w:rsidRDefault="00492B81" w:rsidP="002D6FBB">
            <w:pPr>
              <w:spacing w:before="120" w:after="120"/>
              <w:ind w:right="170"/>
              <w:jc w:val="both"/>
              <w:rPr>
                <w:sz w:val="22"/>
                <w:szCs w:val="24"/>
              </w:rPr>
            </w:pPr>
            <w:r w:rsidRPr="002D6FBB">
              <w:rPr>
                <w:sz w:val="22"/>
                <w:szCs w:val="24"/>
              </w:rPr>
              <w:t>Didžiausia Netesybų dėl vėlavimo suma</w:t>
            </w:r>
          </w:p>
        </w:tc>
        <w:tc>
          <w:tcPr>
            <w:tcW w:w="3305" w:type="dxa"/>
          </w:tcPr>
          <w:p w14:paraId="7069C3EC" w14:textId="77777777" w:rsidR="00492B81" w:rsidRPr="002D6FBB" w:rsidRDefault="00492B81" w:rsidP="002D6FBB">
            <w:pPr>
              <w:spacing w:before="120" w:after="120"/>
              <w:ind w:left="170"/>
              <w:jc w:val="both"/>
              <w:rPr>
                <w:sz w:val="22"/>
                <w:szCs w:val="24"/>
              </w:rPr>
            </w:pPr>
            <w:r w:rsidRPr="002D6FBB">
              <w:rPr>
                <w:sz w:val="22"/>
                <w:szCs w:val="24"/>
              </w:rPr>
              <w:t>20 (dvidešimt) procentų Sutarties vertės (su PVM)</w:t>
            </w:r>
          </w:p>
        </w:tc>
      </w:tr>
      <w:tr w:rsidR="00492B81" w:rsidRPr="002D6FBB" w14:paraId="5484E7F8" w14:textId="77777777" w:rsidTr="002D6FBB">
        <w:trPr>
          <w:trHeight w:val="355"/>
        </w:trPr>
        <w:tc>
          <w:tcPr>
            <w:tcW w:w="1242" w:type="dxa"/>
          </w:tcPr>
          <w:p w14:paraId="7BFC8AAD" w14:textId="77777777" w:rsidR="00492B81" w:rsidRPr="002D6FBB" w:rsidRDefault="00492B81" w:rsidP="002D6FBB">
            <w:pPr>
              <w:spacing w:before="120" w:after="120"/>
              <w:jc w:val="both"/>
              <w:rPr>
                <w:sz w:val="22"/>
                <w:szCs w:val="24"/>
              </w:rPr>
            </w:pPr>
            <w:r w:rsidRPr="002D6FBB">
              <w:rPr>
                <w:sz w:val="22"/>
                <w:szCs w:val="24"/>
              </w:rPr>
              <w:t>14.2.</w:t>
            </w:r>
          </w:p>
        </w:tc>
        <w:tc>
          <w:tcPr>
            <w:tcW w:w="5370" w:type="dxa"/>
          </w:tcPr>
          <w:p w14:paraId="22610A55" w14:textId="77777777" w:rsidR="00492B81" w:rsidRPr="002D6FBB" w:rsidRDefault="00492B81" w:rsidP="002D6FBB">
            <w:pPr>
              <w:spacing w:before="120" w:after="120"/>
              <w:ind w:right="170"/>
              <w:jc w:val="both"/>
              <w:rPr>
                <w:sz w:val="22"/>
                <w:szCs w:val="24"/>
              </w:rPr>
            </w:pPr>
            <w:r w:rsidRPr="002D6FBB">
              <w:rPr>
                <w:sz w:val="22"/>
                <w:szCs w:val="24"/>
              </w:rPr>
              <w:t>Bendra išankstinio mokėjimo suma (procentinė Priimtos sutarties sumos dalis)</w:t>
            </w:r>
          </w:p>
        </w:tc>
        <w:tc>
          <w:tcPr>
            <w:tcW w:w="3305" w:type="dxa"/>
          </w:tcPr>
          <w:p w14:paraId="7FD61F8A" w14:textId="5AFD2430" w:rsidR="00492B81" w:rsidRPr="002D6FBB" w:rsidRDefault="00492B81" w:rsidP="002D6FBB">
            <w:pPr>
              <w:spacing w:before="120" w:after="120"/>
              <w:ind w:left="170"/>
              <w:jc w:val="both"/>
              <w:rPr>
                <w:sz w:val="22"/>
                <w:szCs w:val="24"/>
              </w:rPr>
            </w:pPr>
            <w:r w:rsidRPr="002D6FBB">
              <w:rPr>
                <w:sz w:val="22"/>
                <w:szCs w:val="24"/>
              </w:rPr>
              <w:t xml:space="preserve">Iki </w:t>
            </w:r>
            <w:r w:rsidR="00ED27E4">
              <w:rPr>
                <w:sz w:val="22"/>
                <w:szCs w:val="24"/>
              </w:rPr>
              <w:t>3</w:t>
            </w:r>
            <w:r w:rsidRPr="002D6FBB">
              <w:rPr>
                <w:sz w:val="22"/>
                <w:szCs w:val="24"/>
              </w:rPr>
              <w:t>0 (</w:t>
            </w:r>
            <w:r w:rsidR="00ED27E4">
              <w:rPr>
                <w:sz w:val="22"/>
                <w:szCs w:val="24"/>
              </w:rPr>
              <w:t>tris</w:t>
            </w:r>
            <w:r w:rsidRPr="002D6FBB">
              <w:rPr>
                <w:sz w:val="22"/>
                <w:szCs w:val="24"/>
              </w:rPr>
              <w:t>dešimt) procentų Sutarties vertės (be PVM)</w:t>
            </w:r>
          </w:p>
        </w:tc>
      </w:tr>
      <w:tr w:rsidR="00492B81" w:rsidRPr="002D6FBB" w14:paraId="4DC66730" w14:textId="77777777" w:rsidTr="002D6FBB">
        <w:trPr>
          <w:trHeight w:val="355"/>
        </w:trPr>
        <w:tc>
          <w:tcPr>
            <w:tcW w:w="1242" w:type="dxa"/>
          </w:tcPr>
          <w:p w14:paraId="09C3F23C" w14:textId="77777777" w:rsidR="00492B81" w:rsidRPr="002D6FBB" w:rsidRDefault="00492B81" w:rsidP="002D6FBB">
            <w:pPr>
              <w:spacing w:before="120" w:after="120"/>
              <w:jc w:val="both"/>
              <w:rPr>
                <w:sz w:val="22"/>
                <w:szCs w:val="24"/>
              </w:rPr>
            </w:pPr>
            <w:r w:rsidRPr="002D6FBB">
              <w:rPr>
                <w:sz w:val="22"/>
                <w:szCs w:val="24"/>
              </w:rPr>
              <w:t>14.3b.</w:t>
            </w:r>
          </w:p>
        </w:tc>
        <w:tc>
          <w:tcPr>
            <w:tcW w:w="5370" w:type="dxa"/>
          </w:tcPr>
          <w:p w14:paraId="3D3092CE" w14:textId="77777777" w:rsidR="00492B81" w:rsidRPr="002D6FBB" w:rsidRDefault="00492B81" w:rsidP="002D6FBB">
            <w:pPr>
              <w:spacing w:before="120" w:after="120"/>
              <w:ind w:right="170"/>
              <w:jc w:val="both"/>
              <w:rPr>
                <w:sz w:val="22"/>
                <w:szCs w:val="24"/>
              </w:rPr>
            </w:pPr>
            <w:r w:rsidRPr="002D6FBB">
              <w:rPr>
                <w:sz w:val="22"/>
                <w:szCs w:val="24"/>
              </w:rPr>
              <w:t>Apmokėjimo terminas</w:t>
            </w:r>
          </w:p>
        </w:tc>
        <w:tc>
          <w:tcPr>
            <w:tcW w:w="3305" w:type="dxa"/>
          </w:tcPr>
          <w:p w14:paraId="0B7CCCB8" w14:textId="77777777" w:rsidR="00492B81" w:rsidRPr="002D6FBB" w:rsidRDefault="00492B81" w:rsidP="002D6FBB">
            <w:pPr>
              <w:spacing w:before="120" w:after="120"/>
              <w:ind w:left="170"/>
              <w:jc w:val="both"/>
              <w:rPr>
                <w:sz w:val="22"/>
                <w:szCs w:val="24"/>
              </w:rPr>
            </w:pPr>
            <w:r w:rsidRPr="002D6FBB">
              <w:rPr>
                <w:sz w:val="22"/>
                <w:szCs w:val="24"/>
              </w:rPr>
              <w:t>30 (trisdešimt) dienų</w:t>
            </w:r>
          </w:p>
        </w:tc>
      </w:tr>
      <w:tr w:rsidR="00492B81" w:rsidRPr="002D6FBB" w14:paraId="42F040A1" w14:textId="77777777" w:rsidTr="002D6FBB">
        <w:trPr>
          <w:trHeight w:val="355"/>
        </w:trPr>
        <w:tc>
          <w:tcPr>
            <w:tcW w:w="1242" w:type="dxa"/>
          </w:tcPr>
          <w:p w14:paraId="4F718D0E" w14:textId="77777777" w:rsidR="00492B81" w:rsidRPr="002D6FBB" w:rsidRDefault="00492B81" w:rsidP="002D6FBB">
            <w:pPr>
              <w:spacing w:before="120" w:after="120"/>
              <w:jc w:val="both"/>
              <w:rPr>
                <w:sz w:val="22"/>
                <w:szCs w:val="24"/>
              </w:rPr>
            </w:pPr>
            <w:r w:rsidRPr="002D6FBB">
              <w:rPr>
                <w:sz w:val="22"/>
                <w:szCs w:val="24"/>
              </w:rPr>
              <w:t>14.3 (iii)</w:t>
            </w:r>
          </w:p>
        </w:tc>
        <w:tc>
          <w:tcPr>
            <w:tcW w:w="5370" w:type="dxa"/>
          </w:tcPr>
          <w:p w14:paraId="523D2C26" w14:textId="77777777" w:rsidR="00492B81" w:rsidRPr="002D6FBB" w:rsidRDefault="00492B81" w:rsidP="002D6FBB">
            <w:pPr>
              <w:spacing w:before="120" w:after="120"/>
              <w:ind w:right="170"/>
              <w:jc w:val="both"/>
              <w:rPr>
                <w:sz w:val="22"/>
                <w:szCs w:val="24"/>
              </w:rPr>
            </w:pPr>
            <w:r w:rsidRPr="002D6FBB">
              <w:rPr>
                <w:sz w:val="22"/>
                <w:szCs w:val="24"/>
              </w:rPr>
              <w:t>Sulaikomų pinigų riba (procentinė Priimtos sutarties sumos dalis)</w:t>
            </w:r>
          </w:p>
        </w:tc>
        <w:tc>
          <w:tcPr>
            <w:tcW w:w="3305" w:type="dxa"/>
          </w:tcPr>
          <w:p w14:paraId="0FD39463" w14:textId="77777777" w:rsidR="00492B81" w:rsidRPr="002D6FBB" w:rsidRDefault="00492B81" w:rsidP="002D6FBB">
            <w:pPr>
              <w:spacing w:before="120" w:after="120"/>
              <w:ind w:left="170"/>
              <w:jc w:val="both"/>
              <w:rPr>
                <w:sz w:val="22"/>
                <w:szCs w:val="24"/>
              </w:rPr>
            </w:pPr>
            <w:r w:rsidRPr="002D6FBB">
              <w:rPr>
                <w:sz w:val="22"/>
                <w:szCs w:val="24"/>
              </w:rPr>
              <w:t>5 (penki) proc.</w:t>
            </w:r>
          </w:p>
        </w:tc>
      </w:tr>
    </w:tbl>
    <w:p w14:paraId="15EC2FD7" w14:textId="77777777" w:rsidR="00BF2B02" w:rsidRDefault="00BF2B02">
      <w:pPr>
        <w:rPr>
          <w:sz w:val="24"/>
          <w:szCs w:val="24"/>
        </w:rPr>
      </w:pPr>
      <w:r>
        <w:rPr>
          <w:sz w:val="24"/>
          <w:szCs w:val="24"/>
        </w:rPr>
        <w:br w:type="page"/>
      </w:r>
    </w:p>
    <w:p w14:paraId="20F40C4C" w14:textId="77777777" w:rsidR="003900AD" w:rsidRPr="00C761F0" w:rsidRDefault="003900AD" w:rsidP="003900AD">
      <w:pPr>
        <w:tabs>
          <w:tab w:val="right" w:pos="9936"/>
        </w:tabs>
        <w:jc w:val="right"/>
        <w:rPr>
          <w:b/>
          <w:bCs/>
          <w:caps/>
          <w:sz w:val="24"/>
          <w:szCs w:val="24"/>
        </w:rPr>
      </w:pPr>
      <w:r>
        <w:rPr>
          <w:b/>
          <w:bCs/>
          <w:caps/>
          <w:sz w:val="24"/>
          <w:szCs w:val="24"/>
        </w:rPr>
        <w:lastRenderedPageBreak/>
        <w:t>KONKREČIųjų SĄLYGų B dalis – SPECIALIOSIOS NUOSTATOS</w:t>
      </w:r>
    </w:p>
    <w:p w14:paraId="4D887422" w14:textId="77777777" w:rsidR="003900AD" w:rsidRDefault="003900AD" w:rsidP="00BF2B02">
      <w:pPr>
        <w:ind w:firstLine="720"/>
        <w:jc w:val="both"/>
        <w:rPr>
          <w:sz w:val="24"/>
          <w:szCs w:val="24"/>
        </w:rPr>
      </w:pPr>
    </w:p>
    <w:p w14:paraId="06DC22DB" w14:textId="65D91A03" w:rsidR="00615195" w:rsidRPr="00615195" w:rsidRDefault="00615195" w:rsidP="00615195">
      <w:pPr>
        <w:shd w:val="clear" w:color="auto" w:fill="FFFFFF" w:themeFill="background1"/>
        <w:spacing w:after="200" w:line="276" w:lineRule="auto"/>
        <w:jc w:val="both"/>
        <w:rPr>
          <w:bCs/>
          <w:sz w:val="22"/>
          <w:szCs w:val="22"/>
        </w:rPr>
      </w:pPr>
      <w:r w:rsidRPr="00615195">
        <w:rPr>
          <w:bCs/>
          <w:sz w:val="22"/>
          <w:szCs w:val="22"/>
        </w:rPr>
        <w:tab/>
        <w:t>Sutarties sąlygos apima Bendrąsias sąlygas, kurios yra Statybos sutarties sąlygų (2 laida, 2017 m.</w:t>
      </w:r>
      <w:r w:rsidR="00ED27E4">
        <w:rPr>
          <w:bCs/>
          <w:sz w:val="22"/>
          <w:szCs w:val="22"/>
        </w:rPr>
        <w:t xml:space="preserve"> su 2022 m. pakeitimais</w:t>
      </w:r>
      <w:r w:rsidRPr="00615195">
        <w:rPr>
          <w:bCs/>
          <w:sz w:val="22"/>
          <w:szCs w:val="22"/>
        </w:rPr>
        <w:t>), paskelbtų „Federation Internationale des Ingenieurs-Conseils“ (Tarptautinės inžinierių konsultantų federacijos) (FIDIC), dalis, Sutarties duomenų dalį (Konkrečiųjų sąlygų A dalis) ir šias Specialiąsias nuostatas (kurios apima minėtų Bendrųjų sąlygų pakeitimus ir papildymus.</w:t>
      </w:r>
    </w:p>
    <w:p w14:paraId="4631F19E" w14:textId="77777777" w:rsidR="00165BC5" w:rsidRPr="00384B22" w:rsidRDefault="00615195" w:rsidP="00923E64">
      <w:pPr>
        <w:shd w:val="clear" w:color="auto" w:fill="FFFFFF" w:themeFill="background1"/>
        <w:spacing w:after="200" w:line="276" w:lineRule="auto"/>
        <w:jc w:val="both"/>
        <w:rPr>
          <w:sz w:val="24"/>
          <w:szCs w:val="24"/>
        </w:rPr>
      </w:pPr>
      <w:r w:rsidRPr="00615195">
        <w:rPr>
          <w:bCs/>
          <w:sz w:val="22"/>
          <w:szCs w:val="22"/>
        </w:rPr>
        <w:t>Specialiosiose nuostatose (Konkrečiųjų sąlygų B dalis) esančios nuostatos yra viršesnės už atitinkamas Bendrųjų sąlygų punktų nuostatas, o Sutarties duomenų (Konkrečiųjų sąlygų A dalis) nuostatos yra viršesnės už Specialiąsias nuostatas (Konkrečiųjų są</w:t>
      </w:r>
      <w:r>
        <w:rPr>
          <w:bCs/>
          <w:sz w:val="22"/>
          <w:szCs w:val="22"/>
        </w:rPr>
        <w:t>l</w:t>
      </w:r>
      <w:r w:rsidRPr="00615195">
        <w:rPr>
          <w:bCs/>
          <w:sz w:val="22"/>
          <w:szCs w:val="22"/>
        </w:rPr>
        <w:t>ygų B dalis).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43"/>
        <w:gridCol w:w="8675"/>
      </w:tblGrid>
      <w:tr w:rsidR="00165BC5" w:rsidRPr="001A44AD" w14:paraId="2D93E4D3"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50F0DDF"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4" w:name="_Toc128826825"/>
            <w:bookmarkStart w:id="5" w:name="_Toc140564093"/>
            <w:bookmarkStart w:id="6" w:name="_Toc143077368"/>
            <w:bookmarkStart w:id="7" w:name="_Toc143518390"/>
            <w:bookmarkStart w:id="8" w:name="_Toc143677746"/>
            <w:bookmarkStart w:id="9" w:name="_Toc217377173"/>
            <w:r w:rsidRPr="001A44AD">
              <w:rPr>
                <w:b/>
                <w:sz w:val="22"/>
                <w:szCs w:val="22"/>
                <w:lang w:eastAsia="en-US"/>
              </w:rPr>
              <w:t>1 straipsnis. Bendrosios nuostatos</w:t>
            </w:r>
            <w:bookmarkEnd w:id="4"/>
            <w:bookmarkEnd w:id="5"/>
            <w:bookmarkEnd w:id="6"/>
            <w:bookmarkEnd w:id="7"/>
            <w:bookmarkEnd w:id="8"/>
            <w:bookmarkEnd w:id="9"/>
            <w:r w:rsidRPr="001A44AD">
              <w:rPr>
                <w:sz w:val="22"/>
                <w:szCs w:val="22"/>
                <w:lang w:eastAsia="en-US"/>
              </w:rPr>
              <w:t xml:space="preserve"> </w:t>
            </w:r>
          </w:p>
        </w:tc>
      </w:tr>
      <w:tr w:rsidR="00165BC5" w:rsidRPr="001A44AD" w14:paraId="7D80DD21"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1DBE5110" w14:textId="77777777" w:rsidR="00165BC5" w:rsidRPr="001A44AD" w:rsidRDefault="00165BC5" w:rsidP="004D5857">
            <w:pPr>
              <w:autoSpaceDN w:val="0"/>
              <w:rPr>
                <w:b/>
                <w:sz w:val="22"/>
                <w:szCs w:val="22"/>
              </w:rPr>
            </w:pPr>
            <w:r w:rsidRPr="001A44AD">
              <w:rPr>
                <w:b/>
                <w:sz w:val="22"/>
                <w:szCs w:val="22"/>
              </w:rPr>
              <w:t>1.1</w:t>
            </w:r>
            <w:r w:rsidR="00B458E0" w:rsidRPr="001A44AD">
              <w:rPr>
                <w:b/>
                <w:sz w:val="22"/>
                <w:szCs w:val="22"/>
              </w:rPr>
              <w:t>.</w:t>
            </w:r>
            <w:r w:rsidRPr="001A44AD">
              <w:rPr>
                <w:b/>
                <w:sz w:val="22"/>
                <w:szCs w:val="22"/>
              </w:rPr>
              <w:t xml:space="preserve"> punktas</w:t>
            </w:r>
          </w:p>
        </w:tc>
        <w:tc>
          <w:tcPr>
            <w:tcW w:w="8675" w:type="dxa"/>
            <w:tcBorders>
              <w:top w:val="single" w:sz="4" w:space="0" w:color="auto"/>
              <w:left w:val="single" w:sz="4" w:space="0" w:color="auto"/>
              <w:bottom w:val="single" w:sz="4" w:space="0" w:color="auto"/>
              <w:right w:val="single" w:sz="4" w:space="0" w:color="auto"/>
            </w:tcBorders>
            <w:hideMark/>
          </w:tcPr>
          <w:p w14:paraId="2938A78F" w14:textId="77777777" w:rsidR="00165BC5" w:rsidRPr="001A44AD" w:rsidRDefault="00165BC5" w:rsidP="004D5857">
            <w:pPr>
              <w:autoSpaceDN w:val="0"/>
              <w:rPr>
                <w:b/>
                <w:sz w:val="22"/>
                <w:szCs w:val="22"/>
              </w:rPr>
            </w:pPr>
            <w:r w:rsidRPr="001A44AD">
              <w:rPr>
                <w:b/>
                <w:sz w:val="22"/>
                <w:szCs w:val="22"/>
              </w:rPr>
              <w:t xml:space="preserve">Sąvokos </w:t>
            </w:r>
          </w:p>
        </w:tc>
      </w:tr>
      <w:tr w:rsidR="00B458E0" w:rsidRPr="001A44AD" w14:paraId="62BA1ED1"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3B0466E" w14:textId="77777777" w:rsidR="00B458E0" w:rsidRPr="001A44AD" w:rsidRDefault="00B458E0" w:rsidP="004D5857">
            <w:pPr>
              <w:autoSpaceDN w:val="0"/>
              <w:rPr>
                <w:b/>
                <w:sz w:val="22"/>
                <w:szCs w:val="22"/>
              </w:rPr>
            </w:pPr>
            <w:r w:rsidRPr="001A44AD">
              <w:rPr>
                <w:b/>
                <w:sz w:val="22"/>
                <w:szCs w:val="22"/>
              </w:rPr>
              <w:t>1.1</w:t>
            </w:r>
            <w:r w:rsidR="00E92D68" w:rsidRPr="001A44AD">
              <w:rPr>
                <w:b/>
                <w:sz w:val="22"/>
                <w:szCs w:val="22"/>
              </w:rPr>
              <w:t>.25.</w:t>
            </w:r>
          </w:p>
        </w:tc>
        <w:tc>
          <w:tcPr>
            <w:tcW w:w="8675" w:type="dxa"/>
            <w:tcBorders>
              <w:top w:val="single" w:sz="4" w:space="0" w:color="auto"/>
              <w:left w:val="single" w:sz="4" w:space="0" w:color="auto"/>
              <w:bottom w:val="single" w:sz="4" w:space="0" w:color="auto"/>
              <w:right w:val="single" w:sz="4" w:space="0" w:color="auto"/>
            </w:tcBorders>
          </w:tcPr>
          <w:p w14:paraId="2C8AC526" w14:textId="77777777" w:rsidR="00E92D68" w:rsidRPr="001A44AD" w:rsidRDefault="00E92D68" w:rsidP="004D5857">
            <w:pPr>
              <w:keepNext/>
              <w:autoSpaceDN w:val="0"/>
              <w:jc w:val="both"/>
              <w:rPr>
                <w:b/>
                <w:sz w:val="22"/>
                <w:szCs w:val="22"/>
              </w:rPr>
            </w:pPr>
          </w:p>
        </w:tc>
      </w:tr>
      <w:tr w:rsidR="00E92D68" w:rsidRPr="001A44AD" w14:paraId="225208B7"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93D13DE" w14:textId="77777777" w:rsidR="00E92D68" w:rsidRPr="001A44AD" w:rsidRDefault="00E92D68"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72FDA41" w14:textId="77777777" w:rsidR="00E92D68" w:rsidRPr="001A44AD" w:rsidRDefault="00E92D68" w:rsidP="004D5857">
            <w:pPr>
              <w:keepNext/>
              <w:autoSpaceDN w:val="0"/>
              <w:jc w:val="both"/>
              <w:rPr>
                <w:b/>
                <w:sz w:val="22"/>
                <w:szCs w:val="22"/>
              </w:rPr>
            </w:pPr>
            <w:r w:rsidRPr="001A44AD">
              <w:rPr>
                <w:b/>
                <w:sz w:val="22"/>
                <w:szCs w:val="22"/>
              </w:rPr>
              <w:t>Naujos sąvokos 1.1.25.</w:t>
            </w:r>
          </w:p>
          <w:p w14:paraId="61D4C8B4" w14:textId="77777777" w:rsidR="00E92D68" w:rsidRPr="001A44AD" w:rsidRDefault="00E92D68" w:rsidP="004D5857">
            <w:pPr>
              <w:keepNext/>
              <w:autoSpaceDN w:val="0"/>
              <w:jc w:val="both"/>
              <w:rPr>
                <w:b/>
                <w:sz w:val="22"/>
                <w:szCs w:val="22"/>
              </w:rPr>
            </w:pPr>
          </w:p>
          <w:p w14:paraId="3B247A1B" w14:textId="77777777" w:rsidR="00E92D68" w:rsidRPr="001A44AD" w:rsidRDefault="00E92D68" w:rsidP="004D5857">
            <w:pPr>
              <w:keepNext/>
              <w:autoSpaceDN w:val="0"/>
              <w:jc w:val="both"/>
              <w:rPr>
                <w:sz w:val="22"/>
                <w:szCs w:val="22"/>
              </w:rPr>
            </w:pPr>
            <w:r w:rsidRPr="001A44AD">
              <w:rPr>
                <w:b/>
                <w:sz w:val="22"/>
                <w:szCs w:val="22"/>
              </w:rPr>
              <w:t xml:space="preserve">„1.1.25. a) VPĮ – </w:t>
            </w:r>
            <w:r w:rsidRPr="001A44AD">
              <w:rPr>
                <w:sz w:val="22"/>
                <w:szCs w:val="22"/>
              </w:rPr>
              <w:t>Lietuvos Respublikos viešųjų pirkimų įstatymas</w:t>
            </w:r>
          </w:p>
          <w:p w14:paraId="016D3A0D" w14:textId="77777777" w:rsidR="00E92D68" w:rsidRPr="001A44AD" w:rsidRDefault="00E92D68" w:rsidP="004D5857">
            <w:pPr>
              <w:keepNext/>
              <w:autoSpaceDN w:val="0"/>
              <w:jc w:val="both"/>
              <w:rPr>
                <w:sz w:val="22"/>
                <w:szCs w:val="22"/>
              </w:rPr>
            </w:pPr>
            <w:r w:rsidRPr="001A44AD">
              <w:rPr>
                <w:b/>
                <w:sz w:val="22"/>
                <w:szCs w:val="22"/>
              </w:rPr>
              <w:t xml:space="preserve">1.1.25. b) PĮ - </w:t>
            </w:r>
            <w:r w:rsidRPr="001A44AD">
              <w:rPr>
                <w:sz w:val="22"/>
                <w:szCs w:val="22"/>
              </w:rPr>
              <w:t>Lietuvos Respublikos pirkimų, atliekamų vandentvarkos, energetikos, transporto ar pašto paslaugų srities perkančiųjų subjektų įstatymas“</w:t>
            </w:r>
          </w:p>
          <w:p w14:paraId="5658A8D6" w14:textId="77777777" w:rsidR="00923E64" w:rsidRPr="001A44AD" w:rsidRDefault="00923E64" w:rsidP="004D5857">
            <w:pPr>
              <w:keepNext/>
              <w:autoSpaceDN w:val="0"/>
              <w:jc w:val="both"/>
              <w:rPr>
                <w:b/>
                <w:sz w:val="22"/>
                <w:szCs w:val="22"/>
              </w:rPr>
            </w:pPr>
          </w:p>
        </w:tc>
      </w:tr>
      <w:tr w:rsidR="00165BC5" w:rsidRPr="001A44AD" w14:paraId="520807F6"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402513CC" w14:textId="77777777" w:rsidR="00165BC5" w:rsidRPr="001A44AD" w:rsidRDefault="00B458E0" w:rsidP="004D5857">
            <w:pPr>
              <w:autoSpaceDN w:val="0"/>
              <w:rPr>
                <w:b/>
                <w:sz w:val="22"/>
                <w:szCs w:val="22"/>
              </w:rPr>
            </w:pPr>
            <w:r w:rsidRPr="001A44AD">
              <w:rPr>
                <w:b/>
                <w:sz w:val="22"/>
                <w:szCs w:val="22"/>
              </w:rPr>
              <w:t>1.1.58.</w:t>
            </w:r>
          </w:p>
        </w:tc>
        <w:tc>
          <w:tcPr>
            <w:tcW w:w="8675" w:type="dxa"/>
            <w:tcBorders>
              <w:top w:val="single" w:sz="4" w:space="0" w:color="auto"/>
              <w:left w:val="single" w:sz="4" w:space="0" w:color="auto"/>
              <w:bottom w:val="single" w:sz="4" w:space="0" w:color="auto"/>
              <w:right w:val="single" w:sz="4" w:space="0" w:color="auto"/>
            </w:tcBorders>
            <w:hideMark/>
          </w:tcPr>
          <w:p w14:paraId="69753F3D" w14:textId="77777777" w:rsidR="00165BC5" w:rsidRPr="001A44AD" w:rsidRDefault="00B458E0" w:rsidP="004D5857">
            <w:pPr>
              <w:keepNext/>
              <w:autoSpaceDN w:val="0"/>
              <w:jc w:val="both"/>
              <w:rPr>
                <w:b/>
                <w:sz w:val="22"/>
                <w:szCs w:val="22"/>
              </w:rPr>
            </w:pPr>
            <w:r w:rsidRPr="001A44AD">
              <w:rPr>
                <w:b/>
                <w:sz w:val="22"/>
                <w:szCs w:val="22"/>
              </w:rPr>
              <w:t>Priimta sutarties suma</w:t>
            </w:r>
          </w:p>
        </w:tc>
      </w:tr>
      <w:tr w:rsidR="00165BC5" w:rsidRPr="001A44AD" w14:paraId="7ADBE26B"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9264B6D"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D284D04" w14:textId="77777777" w:rsidR="00923E64" w:rsidRPr="001A44AD" w:rsidRDefault="00923E64" w:rsidP="004D5857">
            <w:pPr>
              <w:keepNext/>
              <w:jc w:val="both"/>
              <w:rPr>
                <w:b/>
                <w:i/>
                <w:sz w:val="22"/>
                <w:szCs w:val="22"/>
              </w:rPr>
            </w:pPr>
          </w:p>
          <w:p w14:paraId="3E1F8A0A" w14:textId="77777777" w:rsidR="00165BC5" w:rsidRPr="001A44AD" w:rsidRDefault="00165BC5" w:rsidP="004D5857">
            <w:pPr>
              <w:keepNext/>
              <w:jc w:val="both"/>
              <w:rPr>
                <w:b/>
                <w:i/>
                <w:sz w:val="22"/>
                <w:szCs w:val="22"/>
              </w:rPr>
            </w:pPr>
            <w:r w:rsidRPr="001A44AD">
              <w:rPr>
                <w:b/>
                <w:i/>
                <w:sz w:val="22"/>
                <w:szCs w:val="22"/>
              </w:rPr>
              <w:t>Pakeisti papunkčio 1.1.</w:t>
            </w:r>
            <w:r w:rsidR="00B458E0" w:rsidRPr="001A44AD">
              <w:rPr>
                <w:b/>
                <w:i/>
                <w:sz w:val="22"/>
                <w:szCs w:val="22"/>
              </w:rPr>
              <w:t>58.</w:t>
            </w:r>
            <w:r w:rsidRPr="001A44AD">
              <w:rPr>
                <w:b/>
                <w:i/>
                <w:sz w:val="22"/>
                <w:szCs w:val="22"/>
              </w:rPr>
              <w:t xml:space="preserve"> pavadinimą į „</w:t>
            </w:r>
            <w:r w:rsidR="00B458E0" w:rsidRPr="001A44AD">
              <w:rPr>
                <w:b/>
                <w:i/>
                <w:sz w:val="22"/>
                <w:szCs w:val="22"/>
              </w:rPr>
              <w:t>Pradinė sutarties vertė</w:t>
            </w:r>
            <w:r w:rsidRPr="001A44AD">
              <w:rPr>
                <w:b/>
                <w:i/>
                <w:sz w:val="22"/>
                <w:szCs w:val="22"/>
              </w:rPr>
              <w:t>” ir išdėstyti jį taip:</w:t>
            </w:r>
          </w:p>
          <w:p w14:paraId="5AFF7793" w14:textId="77777777" w:rsidR="00923E64" w:rsidRPr="001A44AD" w:rsidRDefault="00923E64" w:rsidP="004D5857">
            <w:pPr>
              <w:keepNext/>
              <w:jc w:val="both"/>
              <w:rPr>
                <w:b/>
                <w:i/>
                <w:sz w:val="22"/>
                <w:szCs w:val="22"/>
              </w:rPr>
            </w:pPr>
          </w:p>
          <w:p w14:paraId="159B295B" w14:textId="77777777" w:rsidR="00165BC5" w:rsidRPr="001A44AD" w:rsidRDefault="00165BC5" w:rsidP="00B458E0">
            <w:pPr>
              <w:keepNext/>
              <w:autoSpaceDN w:val="0"/>
              <w:jc w:val="both"/>
              <w:rPr>
                <w:sz w:val="22"/>
                <w:szCs w:val="22"/>
              </w:rPr>
            </w:pPr>
            <w:r w:rsidRPr="001A44AD">
              <w:rPr>
                <w:b/>
                <w:sz w:val="22"/>
                <w:szCs w:val="22"/>
              </w:rPr>
              <w:t>„</w:t>
            </w:r>
            <w:r w:rsidR="00B458E0" w:rsidRPr="001A44AD">
              <w:rPr>
                <w:b/>
                <w:sz w:val="22"/>
                <w:szCs w:val="22"/>
              </w:rPr>
              <w:t>Pradinė sutarties vertė</w:t>
            </w:r>
            <w:r w:rsidRPr="001A44AD">
              <w:rPr>
                <w:b/>
                <w:sz w:val="22"/>
                <w:szCs w:val="22"/>
              </w:rPr>
              <w:t>“</w:t>
            </w:r>
            <w:r w:rsidRPr="001A44AD">
              <w:rPr>
                <w:sz w:val="22"/>
                <w:szCs w:val="22"/>
              </w:rPr>
              <w:t xml:space="preserve"> – </w:t>
            </w:r>
            <w:r w:rsidR="00B458E0" w:rsidRPr="001A44AD">
              <w:rPr>
                <w:sz w:val="22"/>
                <w:szCs w:val="22"/>
              </w:rPr>
              <w:t>Sutartyje nurodyta Sutarties vertė (be PVM), neatsižvelgiant į Sutarties pakeitimus po jos sudarymo.</w:t>
            </w:r>
          </w:p>
          <w:p w14:paraId="7C8E518F" w14:textId="77777777" w:rsidR="00923E64" w:rsidRPr="001A44AD" w:rsidRDefault="00923E64" w:rsidP="00B458E0">
            <w:pPr>
              <w:keepNext/>
              <w:autoSpaceDN w:val="0"/>
              <w:jc w:val="both"/>
              <w:rPr>
                <w:b/>
                <w:sz w:val="22"/>
                <w:szCs w:val="22"/>
              </w:rPr>
            </w:pPr>
          </w:p>
        </w:tc>
      </w:tr>
      <w:tr w:rsidR="00165BC5" w:rsidRPr="001A44AD" w14:paraId="34C13EE7"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08A0C4B" w14:textId="77777777" w:rsidR="00165BC5" w:rsidRPr="001A44AD" w:rsidRDefault="00165BC5" w:rsidP="004D5857">
            <w:pPr>
              <w:autoSpaceDN w:val="0"/>
              <w:rPr>
                <w:b/>
                <w:sz w:val="22"/>
                <w:szCs w:val="22"/>
              </w:rPr>
            </w:pPr>
            <w:r w:rsidRPr="001A44AD">
              <w:rPr>
                <w:rFonts w:eastAsia="Calibri"/>
                <w:b/>
                <w:sz w:val="22"/>
                <w:szCs w:val="22"/>
                <w:lang w:eastAsia="en-US"/>
              </w:rPr>
              <w:t xml:space="preserve">1.5 punktas </w:t>
            </w:r>
          </w:p>
        </w:tc>
        <w:tc>
          <w:tcPr>
            <w:tcW w:w="8675" w:type="dxa"/>
            <w:tcBorders>
              <w:top w:val="single" w:sz="4" w:space="0" w:color="auto"/>
              <w:left w:val="single" w:sz="4" w:space="0" w:color="auto"/>
              <w:bottom w:val="single" w:sz="4" w:space="0" w:color="auto"/>
              <w:right w:val="single" w:sz="4" w:space="0" w:color="auto"/>
            </w:tcBorders>
            <w:hideMark/>
          </w:tcPr>
          <w:p w14:paraId="2B0688F7" w14:textId="77777777" w:rsidR="00165BC5" w:rsidRPr="001A44AD" w:rsidRDefault="00165BC5" w:rsidP="004D5857">
            <w:pPr>
              <w:autoSpaceDN w:val="0"/>
              <w:rPr>
                <w:b/>
                <w:sz w:val="22"/>
                <w:szCs w:val="22"/>
              </w:rPr>
            </w:pPr>
            <w:r w:rsidRPr="001A44AD">
              <w:rPr>
                <w:rFonts w:eastAsia="Calibri"/>
                <w:b/>
                <w:iCs/>
                <w:sz w:val="22"/>
                <w:szCs w:val="22"/>
                <w:lang w:eastAsia="en-US"/>
              </w:rPr>
              <w:t>Dokumentų pirmumas</w:t>
            </w:r>
          </w:p>
        </w:tc>
      </w:tr>
      <w:tr w:rsidR="00165BC5" w:rsidRPr="001A44AD" w14:paraId="7FD9FCD3"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7496EF38"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5D64263C" w14:textId="77777777" w:rsidR="00923E64" w:rsidRPr="001A44AD" w:rsidRDefault="00923E64" w:rsidP="004D5857">
            <w:pPr>
              <w:autoSpaceDE w:val="0"/>
              <w:autoSpaceDN w:val="0"/>
              <w:adjustRightInd w:val="0"/>
              <w:rPr>
                <w:b/>
                <w:bCs/>
                <w:i/>
                <w:sz w:val="22"/>
                <w:szCs w:val="22"/>
                <w:lang w:eastAsia="lt-LT"/>
              </w:rPr>
            </w:pPr>
          </w:p>
          <w:p w14:paraId="661BC567" w14:textId="77777777" w:rsidR="00165BC5" w:rsidRPr="001A44AD" w:rsidRDefault="00165BC5" w:rsidP="004D5857">
            <w:pPr>
              <w:autoSpaceDE w:val="0"/>
              <w:autoSpaceDN w:val="0"/>
              <w:adjustRightInd w:val="0"/>
              <w:rPr>
                <w:b/>
                <w:bCs/>
                <w:i/>
                <w:sz w:val="22"/>
                <w:szCs w:val="22"/>
                <w:lang w:eastAsia="lt-LT"/>
              </w:rPr>
            </w:pPr>
            <w:r w:rsidRPr="001A44AD">
              <w:rPr>
                <w:b/>
                <w:bCs/>
                <w:i/>
                <w:sz w:val="22"/>
                <w:szCs w:val="22"/>
                <w:lang w:eastAsia="lt-LT"/>
              </w:rPr>
              <w:t>Pakeisti 1.5  punkto pirmos pastraipos antrą sakinį</w:t>
            </w:r>
            <w:r w:rsidR="00365AA8" w:rsidRPr="001A44AD">
              <w:rPr>
                <w:b/>
                <w:bCs/>
                <w:i/>
                <w:sz w:val="22"/>
                <w:szCs w:val="22"/>
                <w:lang w:eastAsia="lt-LT"/>
              </w:rPr>
              <w:t xml:space="preserve"> ir išdėstyti jį taip</w:t>
            </w:r>
            <w:r w:rsidRPr="001A44AD">
              <w:rPr>
                <w:b/>
                <w:bCs/>
                <w:i/>
                <w:sz w:val="22"/>
                <w:szCs w:val="22"/>
                <w:lang w:eastAsia="lt-LT"/>
              </w:rPr>
              <w:t>:</w:t>
            </w:r>
          </w:p>
          <w:p w14:paraId="5270F90D" w14:textId="77777777" w:rsidR="00923E64" w:rsidRPr="001A44AD" w:rsidRDefault="00923E64" w:rsidP="004D5857">
            <w:pPr>
              <w:autoSpaceDE w:val="0"/>
              <w:autoSpaceDN w:val="0"/>
              <w:adjustRightInd w:val="0"/>
              <w:rPr>
                <w:b/>
                <w:bCs/>
                <w:i/>
                <w:sz w:val="22"/>
                <w:szCs w:val="22"/>
                <w:lang w:eastAsia="lt-LT"/>
              </w:rPr>
            </w:pPr>
          </w:p>
          <w:p w14:paraId="530F527F" w14:textId="77777777" w:rsidR="00165BC5" w:rsidRPr="001A44AD" w:rsidRDefault="00A56007" w:rsidP="004D5857">
            <w:pPr>
              <w:autoSpaceDE w:val="0"/>
              <w:autoSpaceDN w:val="0"/>
              <w:adjustRightInd w:val="0"/>
              <w:rPr>
                <w:rFonts w:eastAsia="Calibri"/>
                <w:sz w:val="22"/>
                <w:szCs w:val="22"/>
                <w:lang w:eastAsia="en-US"/>
              </w:rPr>
            </w:pPr>
            <w:r w:rsidRPr="001A44AD">
              <w:rPr>
                <w:rFonts w:eastAsia="Calibri"/>
                <w:sz w:val="22"/>
                <w:szCs w:val="22"/>
                <w:lang w:eastAsia="en-US"/>
              </w:rPr>
              <w:t>Prieštaravimų, dviprasmybių ar neatitikimų atvejais nustatomas toks dokumentų pirmumas:</w:t>
            </w:r>
          </w:p>
          <w:p w14:paraId="0DDCA5C3"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Rangos Sutartis;</w:t>
            </w:r>
          </w:p>
          <w:p w14:paraId="64CFD239"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Pasiūlymo raštas;</w:t>
            </w:r>
          </w:p>
          <w:p w14:paraId="13C0D13E"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Konkrečiųjų sąlygų A dalis „Sutarties duomenų dalis“;</w:t>
            </w:r>
          </w:p>
          <w:p w14:paraId="6727E6A7" w14:textId="77777777" w:rsidR="00A56007"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Konkrečiųjų sąlygų B dalis „Specialiosios nuostatos“;</w:t>
            </w:r>
          </w:p>
          <w:p w14:paraId="00C8782D" w14:textId="77777777" w:rsidR="00165BC5" w:rsidRPr="001A44AD" w:rsidRDefault="00165BC5"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Bendrosios sutarties sąlygos</w:t>
            </w:r>
            <w:r w:rsidR="00A56007" w:rsidRPr="001A44AD">
              <w:rPr>
                <w:rFonts w:eastAsia="Calibri"/>
                <w:sz w:val="22"/>
                <w:szCs w:val="22"/>
                <w:lang w:eastAsia="en-US"/>
              </w:rPr>
              <w:t>;</w:t>
            </w:r>
          </w:p>
          <w:p w14:paraId="25B71238"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Techninė s</w:t>
            </w:r>
            <w:r w:rsidR="00165BC5" w:rsidRPr="001A44AD">
              <w:rPr>
                <w:rFonts w:eastAsia="Calibri"/>
                <w:sz w:val="22"/>
                <w:szCs w:val="22"/>
                <w:lang w:eastAsia="en-US"/>
              </w:rPr>
              <w:t>pecifikacija</w:t>
            </w:r>
            <w:r w:rsidRPr="001A44AD">
              <w:rPr>
                <w:rFonts w:eastAsia="Calibri"/>
                <w:sz w:val="22"/>
                <w:szCs w:val="22"/>
                <w:lang w:eastAsia="en-US"/>
              </w:rPr>
              <w:t>;</w:t>
            </w:r>
          </w:p>
          <w:p w14:paraId="7B42A6D6" w14:textId="77777777" w:rsidR="00A56007" w:rsidRPr="001A44AD" w:rsidRDefault="00A56007" w:rsidP="00A56007">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Brėžiniai;</w:t>
            </w:r>
          </w:p>
          <w:p w14:paraId="470769CC" w14:textId="77777777" w:rsidR="00165BC5" w:rsidRPr="001A44AD" w:rsidRDefault="00165BC5"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Žiniaraščiai</w:t>
            </w:r>
            <w:r w:rsidR="00A56007" w:rsidRPr="001A44AD">
              <w:rPr>
                <w:rFonts w:eastAsia="Calibri"/>
                <w:sz w:val="22"/>
                <w:szCs w:val="22"/>
                <w:lang w:eastAsia="en-US"/>
              </w:rPr>
              <w:t>;</w:t>
            </w:r>
          </w:p>
          <w:p w14:paraId="027297B2" w14:textId="77777777" w:rsidR="00A56007"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Kiti Sutartį sudarantys dokumentai.</w:t>
            </w:r>
          </w:p>
          <w:p w14:paraId="01324050" w14:textId="77777777" w:rsidR="00165BC5" w:rsidRPr="001A44AD" w:rsidRDefault="00165BC5" w:rsidP="004D5857">
            <w:pPr>
              <w:autoSpaceDE w:val="0"/>
              <w:autoSpaceDN w:val="0"/>
              <w:adjustRightInd w:val="0"/>
              <w:rPr>
                <w:rFonts w:eastAsia="Calibri"/>
                <w:sz w:val="22"/>
                <w:szCs w:val="22"/>
                <w:lang w:eastAsia="en-US"/>
              </w:rPr>
            </w:pPr>
          </w:p>
        </w:tc>
      </w:tr>
      <w:tr w:rsidR="00165BC5" w:rsidRPr="001A44AD" w14:paraId="25D05F2D"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8C53197" w14:textId="77777777" w:rsidR="00165BC5" w:rsidRPr="001A44AD" w:rsidRDefault="00165BC5" w:rsidP="004D5857">
            <w:pPr>
              <w:autoSpaceDN w:val="0"/>
              <w:rPr>
                <w:b/>
                <w:sz w:val="22"/>
                <w:szCs w:val="22"/>
              </w:rPr>
            </w:pPr>
            <w:r w:rsidRPr="001A44AD">
              <w:rPr>
                <w:b/>
                <w:sz w:val="22"/>
                <w:szCs w:val="22"/>
              </w:rPr>
              <w:t>1.6 punktas</w:t>
            </w:r>
          </w:p>
        </w:tc>
        <w:tc>
          <w:tcPr>
            <w:tcW w:w="8675" w:type="dxa"/>
            <w:tcBorders>
              <w:top w:val="single" w:sz="4" w:space="0" w:color="auto"/>
              <w:left w:val="single" w:sz="4" w:space="0" w:color="auto"/>
              <w:bottom w:val="single" w:sz="4" w:space="0" w:color="auto"/>
              <w:right w:val="single" w:sz="4" w:space="0" w:color="auto"/>
            </w:tcBorders>
            <w:hideMark/>
          </w:tcPr>
          <w:p w14:paraId="700C601E" w14:textId="77777777" w:rsidR="00165BC5" w:rsidRPr="001A44AD" w:rsidRDefault="00165BC5" w:rsidP="004D5857">
            <w:pPr>
              <w:autoSpaceDN w:val="0"/>
              <w:jc w:val="both"/>
              <w:rPr>
                <w:b/>
                <w:sz w:val="22"/>
                <w:szCs w:val="22"/>
              </w:rPr>
            </w:pPr>
            <w:r w:rsidRPr="001A44AD">
              <w:rPr>
                <w:b/>
                <w:sz w:val="22"/>
                <w:szCs w:val="22"/>
              </w:rPr>
              <w:t>Rangos sutartis</w:t>
            </w:r>
          </w:p>
        </w:tc>
      </w:tr>
      <w:tr w:rsidR="00165BC5" w:rsidRPr="001A44AD" w14:paraId="4370AD9D"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5E019FD"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4151D42E" w14:textId="77777777" w:rsidR="00923E64" w:rsidRPr="001A44AD" w:rsidRDefault="00923E64" w:rsidP="004D5857">
            <w:pPr>
              <w:jc w:val="both"/>
              <w:rPr>
                <w:b/>
                <w:i/>
                <w:sz w:val="22"/>
                <w:szCs w:val="22"/>
              </w:rPr>
            </w:pPr>
          </w:p>
          <w:p w14:paraId="7B45B74F" w14:textId="77777777" w:rsidR="00165BC5" w:rsidRPr="001A44AD" w:rsidRDefault="00165BC5" w:rsidP="004D5857">
            <w:pPr>
              <w:jc w:val="both"/>
              <w:rPr>
                <w:b/>
                <w:i/>
                <w:sz w:val="22"/>
                <w:szCs w:val="22"/>
              </w:rPr>
            </w:pPr>
            <w:r w:rsidRPr="001A44AD">
              <w:rPr>
                <w:b/>
                <w:i/>
                <w:sz w:val="22"/>
                <w:szCs w:val="22"/>
              </w:rPr>
              <w:t xml:space="preserve">Pakeisti 1.6 punktą „Rangos sutartis“ ir jį išdėstyti taip: </w:t>
            </w:r>
          </w:p>
          <w:p w14:paraId="3C96404B" w14:textId="77777777" w:rsidR="00923E64" w:rsidRPr="001A44AD" w:rsidRDefault="00923E64" w:rsidP="004D5857">
            <w:pPr>
              <w:jc w:val="both"/>
              <w:rPr>
                <w:b/>
                <w:i/>
                <w:sz w:val="22"/>
                <w:szCs w:val="22"/>
              </w:rPr>
            </w:pPr>
          </w:p>
          <w:p w14:paraId="6B2D5AFB" w14:textId="77777777" w:rsidR="00165BC5" w:rsidRPr="001A44AD" w:rsidRDefault="00165BC5" w:rsidP="00A56007">
            <w:pPr>
              <w:autoSpaceDN w:val="0"/>
              <w:ind w:right="-17"/>
              <w:jc w:val="both"/>
              <w:rPr>
                <w:rFonts w:eastAsia="Calibri"/>
                <w:color w:val="000000"/>
                <w:sz w:val="22"/>
                <w:szCs w:val="22"/>
                <w:lang w:eastAsia="en-US"/>
              </w:rPr>
            </w:pPr>
            <w:r w:rsidRPr="001A44AD">
              <w:rPr>
                <w:rFonts w:eastAsia="Calibri"/>
                <w:color w:val="000000"/>
                <w:sz w:val="22"/>
                <w:szCs w:val="22"/>
                <w:lang w:eastAsia="en-US"/>
              </w:rPr>
              <w:t xml:space="preserve">Rangos sutartis turi būti </w:t>
            </w:r>
            <w:r w:rsidR="00A56007" w:rsidRPr="001A44AD">
              <w:rPr>
                <w:rFonts w:eastAsia="Calibri"/>
                <w:color w:val="000000"/>
                <w:sz w:val="22"/>
                <w:szCs w:val="22"/>
                <w:lang w:eastAsia="en-US"/>
              </w:rPr>
              <w:t xml:space="preserve">parengta pagal </w:t>
            </w:r>
            <w:r w:rsidRPr="001A44AD">
              <w:rPr>
                <w:rFonts w:eastAsia="Calibri"/>
                <w:color w:val="000000"/>
                <w:sz w:val="22"/>
                <w:szCs w:val="22"/>
                <w:lang w:eastAsia="en-US"/>
              </w:rPr>
              <w:t>form</w:t>
            </w:r>
            <w:r w:rsidR="00A56007" w:rsidRPr="001A44AD">
              <w:rPr>
                <w:rFonts w:eastAsia="Calibri"/>
                <w:color w:val="000000"/>
                <w:sz w:val="22"/>
                <w:szCs w:val="22"/>
                <w:lang w:eastAsia="en-US"/>
              </w:rPr>
              <w:t>ą</w:t>
            </w:r>
            <w:r w:rsidRPr="001A44AD">
              <w:rPr>
                <w:rFonts w:eastAsia="Calibri"/>
                <w:color w:val="000000"/>
                <w:sz w:val="22"/>
                <w:szCs w:val="22"/>
                <w:lang w:eastAsia="en-US"/>
              </w:rPr>
              <w:t>, kuri pridėta prie pirkimo dokumentų. Sudarant Rangos sutartį, įstatymo numatomas registracijos ir kitas mokesčių išlaidas (jeigu yra) padengia Užsakovas.</w:t>
            </w:r>
          </w:p>
          <w:p w14:paraId="460831F0" w14:textId="77777777" w:rsidR="00923E64" w:rsidRPr="001A44AD" w:rsidRDefault="00923E64" w:rsidP="00A56007">
            <w:pPr>
              <w:autoSpaceDN w:val="0"/>
              <w:ind w:right="-17"/>
              <w:jc w:val="both"/>
              <w:rPr>
                <w:iCs/>
                <w:sz w:val="22"/>
                <w:szCs w:val="22"/>
              </w:rPr>
            </w:pPr>
          </w:p>
        </w:tc>
      </w:tr>
      <w:tr w:rsidR="00165BC5" w:rsidRPr="001A44AD" w14:paraId="649BF3E9"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54C12950" w14:textId="77777777" w:rsidR="00165BC5" w:rsidRPr="001A44AD" w:rsidRDefault="00165BC5" w:rsidP="004D5857">
            <w:pPr>
              <w:autoSpaceDN w:val="0"/>
              <w:rPr>
                <w:b/>
                <w:sz w:val="22"/>
                <w:szCs w:val="22"/>
              </w:rPr>
            </w:pPr>
            <w:r w:rsidRPr="001A44AD">
              <w:rPr>
                <w:b/>
                <w:bCs/>
                <w:sz w:val="22"/>
                <w:szCs w:val="22"/>
              </w:rPr>
              <w:t xml:space="preserve">1.12 </w:t>
            </w:r>
            <w:r w:rsidRPr="001A44AD">
              <w:rPr>
                <w:b/>
                <w:sz w:val="22"/>
                <w:szCs w:val="22"/>
              </w:rPr>
              <w:t xml:space="preserve">punktas </w:t>
            </w:r>
          </w:p>
        </w:tc>
        <w:tc>
          <w:tcPr>
            <w:tcW w:w="8675" w:type="dxa"/>
            <w:tcBorders>
              <w:top w:val="single" w:sz="4" w:space="0" w:color="auto"/>
              <w:left w:val="single" w:sz="4" w:space="0" w:color="auto"/>
              <w:bottom w:val="single" w:sz="4" w:space="0" w:color="auto"/>
              <w:right w:val="single" w:sz="4" w:space="0" w:color="auto"/>
            </w:tcBorders>
            <w:hideMark/>
          </w:tcPr>
          <w:p w14:paraId="115AD4A2" w14:textId="77777777" w:rsidR="00165BC5" w:rsidRPr="001A44AD" w:rsidRDefault="00165BC5" w:rsidP="004D5857">
            <w:pPr>
              <w:autoSpaceDN w:val="0"/>
              <w:rPr>
                <w:b/>
                <w:sz w:val="22"/>
                <w:szCs w:val="22"/>
              </w:rPr>
            </w:pPr>
            <w:r w:rsidRPr="001A44AD">
              <w:rPr>
                <w:b/>
                <w:bCs/>
                <w:sz w:val="22"/>
                <w:szCs w:val="22"/>
              </w:rPr>
              <w:t>Konfidenciali informacija</w:t>
            </w:r>
          </w:p>
        </w:tc>
      </w:tr>
      <w:tr w:rsidR="00165BC5" w:rsidRPr="001A44AD" w14:paraId="7B12C8FA"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DE9202A"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0383C207" w14:textId="77777777" w:rsidR="00923E64" w:rsidRPr="001A44AD" w:rsidRDefault="00923E64" w:rsidP="004D5857">
            <w:pPr>
              <w:jc w:val="both"/>
              <w:rPr>
                <w:b/>
                <w:i/>
                <w:spacing w:val="-2"/>
                <w:sz w:val="22"/>
                <w:szCs w:val="22"/>
              </w:rPr>
            </w:pPr>
          </w:p>
          <w:p w14:paraId="70B7470E" w14:textId="77777777" w:rsidR="00165BC5" w:rsidRPr="001A44AD" w:rsidRDefault="00165BC5" w:rsidP="004D5857">
            <w:pPr>
              <w:jc w:val="both"/>
              <w:rPr>
                <w:b/>
                <w:i/>
                <w:spacing w:val="-2"/>
                <w:sz w:val="22"/>
                <w:szCs w:val="22"/>
              </w:rPr>
            </w:pPr>
            <w:r w:rsidRPr="001A44AD">
              <w:rPr>
                <w:b/>
                <w:i/>
                <w:spacing w:val="-2"/>
                <w:sz w:val="22"/>
                <w:szCs w:val="22"/>
              </w:rPr>
              <w:t>Papildyti 1.12 punktą pastraipa:</w:t>
            </w:r>
          </w:p>
          <w:p w14:paraId="422DCCFC" w14:textId="77777777" w:rsidR="00923E64" w:rsidRPr="001A44AD" w:rsidRDefault="00923E64" w:rsidP="004D5857">
            <w:pPr>
              <w:jc w:val="both"/>
              <w:rPr>
                <w:b/>
                <w:i/>
                <w:spacing w:val="-2"/>
                <w:sz w:val="22"/>
                <w:szCs w:val="22"/>
              </w:rPr>
            </w:pPr>
          </w:p>
          <w:p w14:paraId="721DC4C6" w14:textId="77777777" w:rsidR="00165BC5" w:rsidRPr="001A44AD" w:rsidRDefault="00165BC5" w:rsidP="00365AA8">
            <w:pPr>
              <w:autoSpaceDN w:val="0"/>
              <w:jc w:val="both"/>
              <w:rPr>
                <w:sz w:val="22"/>
                <w:szCs w:val="22"/>
              </w:rPr>
            </w:pPr>
            <w:r w:rsidRPr="001A44AD">
              <w:rPr>
                <w:rFonts w:eastAsia="Calibri"/>
                <w:sz w:val="22"/>
                <w:szCs w:val="22"/>
                <w:lang w:eastAsia="en-US"/>
              </w:rPr>
              <w:t>Savo atsakomybių ribose kiekviena Šalis privalo užtikrinti, kad būtų laikomasi Lietuvos Respublikos įstatymų</w:t>
            </w:r>
            <w:r w:rsidR="00365AA8" w:rsidRPr="001A44AD">
              <w:rPr>
                <w:rFonts w:eastAsia="Calibri"/>
                <w:sz w:val="22"/>
                <w:szCs w:val="22"/>
                <w:lang w:eastAsia="en-US"/>
              </w:rPr>
              <w:t>.</w:t>
            </w:r>
          </w:p>
        </w:tc>
      </w:tr>
      <w:tr w:rsidR="00165BC5" w:rsidRPr="001A44AD" w14:paraId="2F85912C"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1AB51223"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10" w:name="_Toc128826826"/>
            <w:bookmarkStart w:id="11" w:name="_Toc140564094"/>
            <w:bookmarkStart w:id="12" w:name="_Toc143077369"/>
            <w:bookmarkStart w:id="13" w:name="_Toc143518391"/>
            <w:bookmarkStart w:id="14" w:name="_Toc143677747"/>
            <w:bookmarkStart w:id="15" w:name="_Toc217377174"/>
            <w:r w:rsidRPr="001A44AD">
              <w:rPr>
                <w:b/>
                <w:sz w:val="22"/>
                <w:szCs w:val="22"/>
                <w:lang w:eastAsia="en-US"/>
              </w:rPr>
              <w:t>2 straipsnis. Užsakovas</w:t>
            </w:r>
            <w:bookmarkEnd w:id="10"/>
            <w:bookmarkEnd w:id="11"/>
            <w:bookmarkEnd w:id="12"/>
            <w:bookmarkEnd w:id="13"/>
            <w:bookmarkEnd w:id="14"/>
            <w:bookmarkEnd w:id="15"/>
          </w:p>
        </w:tc>
      </w:tr>
      <w:tr w:rsidR="00165BC5" w:rsidRPr="001A44AD" w14:paraId="50A9A955" w14:textId="77777777" w:rsidTr="00F267A9">
        <w:tc>
          <w:tcPr>
            <w:tcW w:w="1525" w:type="dxa"/>
            <w:tcBorders>
              <w:top w:val="single" w:sz="4" w:space="0" w:color="auto"/>
              <w:left w:val="single" w:sz="4" w:space="0" w:color="auto"/>
              <w:bottom w:val="single" w:sz="4" w:space="0" w:color="auto"/>
              <w:right w:val="single" w:sz="4" w:space="0" w:color="auto"/>
            </w:tcBorders>
            <w:hideMark/>
          </w:tcPr>
          <w:p w14:paraId="321F1143" w14:textId="77777777" w:rsidR="00165BC5" w:rsidRPr="001A44AD" w:rsidRDefault="00165BC5" w:rsidP="004D5857">
            <w:pPr>
              <w:autoSpaceDN w:val="0"/>
              <w:rPr>
                <w:b/>
                <w:sz w:val="22"/>
                <w:szCs w:val="22"/>
              </w:rPr>
            </w:pPr>
            <w:r w:rsidRPr="001A44AD">
              <w:rPr>
                <w:b/>
                <w:sz w:val="22"/>
                <w:szCs w:val="22"/>
              </w:rPr>
              <w:t>2.2 punktas</w:t>
            </w:r>
          </w:p>
        </w:tc>
        <w:tc>
          <w:tcPr>
            <w:tcW w:w="8818" w:type="dxa"/>
            <w:gridSpan w:val="2"/>
            <w:tcBorders>
              <w:top w:val="single" w:sz="4" w:space="0" w:color="auto"/>
              <w:left w:val="single" w:sz="4" w:space="0" w:color="auto"/>
              <w:bottom w:val="single" w:sz="4" w:space="0" w:color="auto"/>
              <w:right w:val="single" w:sz="4" w:space="0" w:color="auto"/>
            </w:tcBorders>
            <w:hideMark/>
          </w:tcPr>
          <w:p w14:paraId="6CE60DBB" w14:textId="77777777" w:rsidR="00165BC5" w:rsidRPr="001A44AD" w:rsidRDefault="00E46E67" w:rsidP="004D5857">
            <w:pPr>
              <w:autoSpaceDN w:val="0"/>
              <w:jc w:val="both"/>
              <w:rPr>
                <w:b/>
                <w:spacing w:val="-2"/>
                <w:sz w:val="22"/>
                <w:szCs w:val="22"/>
              </w:rPr>
            </w:pPr>
            <w:r w:rsidRPr="001A44AD">
              <w:rPr>
                <w:b/>
                <w:sz w:val="22"/>
                <w:szCs w:val="22"/>
              </w:rPr>
              <w:t>Pagalba</w:t>
            </w:r>
          </w:p>
        </w:tc>
      </w:tr>
      <w:tr w:rsidR="00165BC5" w:rsidRPr="001A44AD" w14:paraId="7C455D11" w14:textId="77777777" w:rsidTr="00F267A9">
        <w:tc>
          <w:tcPr>
            <w:tcW w:w="1525" w:type="dxa"/>
            <w:tcBorders>
              <w:top w:val="single" w:sz="4" w:space="0" w:color="auto"/>
              <w:left w:val="single" w:sz="4" w:space="0" w:color="auto"/>
              <w:bottom w:val="single" w:sz="4" w:space="0" w:color="auto"/>
              <w:right w:val="single" w:sz="4" w:space="0" w:color="auto"/>
            </w:tcBorders>
          </w:tcPr>
          <w:p w14:paraId="17D1F906" w14:textId="77777777" w:rsidR="00165BC5" w:rsidRPr="001A44AD" w:rsidRDefault="00165BC5" w:rsidP="004D5857">
            <w:pPr>
              <w:autoSpaceDN w:val="0"/>
              <w:rPr>
                <w:b/>
                <w:sz w:val="22"/>
                <w:szCs w:val="22"/>
              </w:rPr>
            </w:pPr>
          </w:p>
        </w:tc>
        <w:tc>
          <w:tcPr>
            <w:tcW w:w="8818" w:type="dxa"/>
            <w:gridSpan w:val="2"/>
            <w:tcBorders>
              <w:top w:val="single" w:sz="4" w:space="0" w:color="auto"/>
              <w:left w:val="single" w:sz="4" w:space="0" w:color="auto"/>
              <w:bottom w:val="single" w:sz="4" w:space="0" w:color="auto"/>
              <w:right w:val="single" w:sz="4" w:space="0" w:color="auto"/>
            </w:tcBorders>
            <w:hideMark/>
          </w:tcPr>
          <w:p w14:paraId="6D4B182B" w14:textId="77777777" w:rsidR="00923E64" w:rsidRPr="001A44AD" w:rsidRDefault="00923E64" w:rsidP="00365AA8">
            <w:pPr>
              <w:autoSpaceDE w:val="0"/>
              <w:autoSpaceDN w:val="0"/>
              <w:adjustRightInd w:val="0"/>
              <w:rPr>
                <w:b/>
                <w:bCs/>
                <w:i/>
                <w:sz w:val="22"/>
                <w:szCs w:val="22"/>
                <w:lang w:eastAsia="lt-LT"/>
              </w:rPr>
            </w:pPr>
          </w:p>
          <w:p w14:paraId="74EB2447" w14:textId="77777777" w:rsidR="00365AA8" w:rsidRPr="001A44AD" w:rsidRDefault="00E46E67" w:rsidP="00365AA8">
            <w:pPr>
              <w:autoSpaceDE w:val="0"/>
              <w:autoSpaceDN w:val="0"/>
              <w:adjustRightInd w:val="0"/>
              <w:rPr>
                <w:b/>
                <w:bCs/>
                <w:i/>
                <w:sz w:val="22"/>
                <w:szCs w:val="22"/>
                <w:lang w:eastAsia="lt-LT"/>
              </w:rPr>
            </w:pPr>
            <w:r w:rsidRPr="001A44AD">
              <w:rPr>
                <w:b/>
                <w:bCs/>
                <w:i/>
                <w:sz w:val="22"/>
                <w:szCs w:val="22"/>
                <w:lang w:eastAsia="lt-LT"/>
              </w:rPr>
              <w:lastRenderedPageBreak/>
              <w:t xml:space="preserve">Papildyti </w:t>
            </w:r>
            <w:r w:rsidR="00365AA8" w:rsidRPr="001A44AD">
              <w:rPr>
                <w:b/>
                <w:bCs/>
                <w:i/>
                <w:sz w:val="22"/>
                <w:szCs w:val="22"/>
                <w:lang w:eastAsia="lt-LT"/>
              </w:rPr>
              <w:t>2.2.  punktą antra pastraipa ir išdėstyti ją taip:</w:t>
            </w:r>
          </w:p>
          <w:p w14:paraId="7BDB9EF7" w14:textId="77777777" w:rsidR="00923E64" w:rsidRPr="001A44AD" w:rsidRDefault="00923E64" w:rsidP="00365AA8">
            <w:pPr>
              <w:autoSpaceDE w:val="0"/>
              <w:autoSpaceDN w:val="0"/>
              <w:adjustRightInd w:val="0"/>
              <w:rPr>
                <w:b/>
                <w:bCs/>
                <w:i/>
                <w:sz w:val="22"/>
                <w:szCs w:val="22"/>
                <w:lang w:eastAsia="lt-LT"/>
              </w:rPr>
            </w:pPr>
          </w:p>
          <w:p w14:paraId="336E6E94" w14:textId="77777777" w:rsidR="00165BC5" w:rsidRPr="001A44AD" w:rsidRDefault="00165BC5" w:rsidP="004D5857">
            <w:pPr>
              <w:jc w:val="both"/>
              <w:rPr>
                <w:rFonts w:eastAsia="Calibri"/>
                <w:sz w:val="22"/>
                <w:szCs w:val="22"/>
                <w:lang w:eastAsia="en-US"/>
              </w:rPr>
            </w:pPr>
            <w:r w:rsidRPr="001A44AD">
              <w:rPr>
                <w:spacing w:val="-2"/>
                <w:sz w:val="22"/>
                <w:szCs w:val="22"/>
              </w:rPr>
              <w:t>Statybą leidžiantį dokumentą gauna Užsakovas</w:t>
            </w:r>
            <w:r w:rsidRPr="001A44AD">
              <w:rPr>
                <w:rFonts w:eastAsia="Calibri"/>
                <w:sz w:val="22"/>
                <w:szCs w:val="22"/>
                <w:lang w:eastAsia="en-US"/>
              </w:rPr>
              <w:t xml:space="preserve"> ir perduoda jį Rangovui ne vėliau, nei Šalys pasirašo Statybvietės perdavimo-priėmimo aktą. </w:t>
            </w:r>
          </w:p>
          <w:p w14:paraId="2E94FF8E" w14:textId="77777777" w:rsidR="00923E64" w:rsidRPr="001A44AD" w:rsidRDefault="00923E64" w:rsidP="004D5857">
            <w:pPr>
              <w:jc w:val="both"/>
              <w:rPr>
                <w:rFonts w:eastAsia="Calibri"/>
                <w:sz w:val="22"/>
                <w:szCs w:val="22"/>
                <w:lang w:eastAsia="en-US"/>
              </w:rPr>
            </w:pPr>
          </w:p>
          <w:p w14:paraId="251CB19F" w14:textId="77777777" w:rsidR="00E46E67" w:rsidRPr="001A44AD" w:rsidRDefault="00E46E67" w:rsidP="00E46E67">
            <w:pPr>
              <w:autoSpaceDE w:val="0"/>
              <w:autoSpaceDN w:val="0"/>
              <w:adjustRightInd w:val="0"/>
              <w:rPr>
                <w:b/>
                <w:bCs/>
                <w:i/>
                <w:sz w:val="22"/>
                <w:szCs w:val="22"/>
                <w:lang w:eastAsia="lt-LT"/>
              </w:rPr>
            </w:pPr>
            <w:r w:rsidRPr="001A44AD">
              <w:rPr>
                <w:b/>
                <w:bCs/>
                <w:i/>
                <w:sz w:val="22"/>
                <w:szCs w:val="22"/>
                <w:lang w:eastAsia="lt-LT"/>
              </w:rPr>
              <w:t>Papildyti 2.2.  punktą trečia pastraipa ir išdėstyti ją taip:</w:t>
            </w:r>
          </w:p>
          <w:p w14:paraId="58D6DBBB" w14:textId="77777777" w:rsidR="00923E64" w:rsidRPr="001A44AD" w:rsidRDefault="00923E64" w:rsidP="00E46E67">
            <w:pPr>
              <w:autoSpaceDE w:val="0"/>
              <w:autoSpaceDN w:val="0"/>
              <w:adjustRightInd w:val="0"/>
              <w:rPr>
                <w:b/>
                <w:bCs/>
                <w:i/>
                <w:sz w:val="22"/>
                <w:szCs w:val="22"/>
                <w:lang w:eastAsia="lt-LT"/>
              </w:rPr>
            </w:pPr>
          </w:p>
          <w:p w14:paraId="45B86CE6" w14:textId="77777777" w:rsidR="00165BC5" w:rsidRPr="001A44AD" w:rsidRDefault="00165BC5" w:rsidP="004D5857">
            <w:pPr>
              <w:autoSpaceDN w:val="0"/>
              <w:jc w:val="both"/>
              <w:rPr>
                <w:rFonts w:eastAsia="Calibri"/>
                <w:sz w:val="22"/>
                <w:szCs w:val="22"/>
                <w:lang w:eastAsia="en-US"/>
              </w:rPr>
            </w:pPr>
            <w:r w:rsidRPr="001A44AD">
              <w:rPr>
                <w:rFonts w:eastAsia="Calibri"/>
                <w:sz w:val="22"/>
                <w:szCs w:val="22"/>
                <w:lang w:eastAsia="en-US"/>
              </w:rPr>
              <w:t>Rangovas savo lėšomis privalo gauti visus reikalingus leidimus iš atitinkamų valstybės ir/ar savivaldybės įstaigų. Tokie leidimai apima leidimus eismo nukreipimams, kelių uždarymo leidimai, gyvenimo ir darbo leidimai, leidimai radijo ryšio priemonėms, leidimai žemės darbams ar inžinerinių tinklų perkėlimui, aplinkosaugos leidimai ir kt.</w:t>
            </w:r>
          </w:p>
          <w:p w14:paraId="4F3696D6" w14:textId="77777777" w:rsidR="00923E64" w:rsidRPr="001A44AD" w:rsidRDefault="00923E64" w:rsidP="004D5857">
            <w:pPr>
              <w:autoSpaceDN w:val="0"/>
              <w:jc w:val="both"/>
              <w:rPr>
                <w:spacing w:val="-2"/>
                <w:sz w:val="22"/>
                <w:szCs w:val="22"/>
              </w:rPr>
            </w:pPr>
          </w:p>
        </w:tc>
      </w:tr>
      <w:tr w:rsidR="00165BC5" w:rsidRPr="001A44AD" w14:paraId="66836032"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C104067"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16" w:name="_Toc128826828"/>
            <w:bookmarkStart w:id="17" w:name="_Toc140564096"/>
            <w:bookmarkStart w:id="18" w:name="_Toc143077371"/>
            <w:bookmarkStart w:id="19" w:name="_Toc143518393"/>
            <w:bookmarkStart w:id="20" w:name="_Toc143677749"/>
            <w:bookmarkStart w:id="21" w:name="_Toc217377176"/>
            <w:r w:rsidRPr="001A44AD">
              <w:rPr>
                <w:b/>
                <w:sz w:val="22"/>
                <w:szCs w:val="22"/>
                <w:lang w:eastAsia="en-US"/>
              </w:rPr>
              <w:lastRenderedPageBreak/>
              <w:t>4 straipsnis. Rangovas</w:t>
            </w:r>
            <w:bookmarkEnd w:id="16"/>
            <w:bookmarkEnd w:id="17"/>
            <w:bookmarkEnd w:id="18"/>
            <w:bookmarkEnd w:id="19"/>
            <w:bookmarkEnd w:id="20"/>
            <w:bookmarkEnd w:id="21"/>
          </w:p>
        </w:tc>
      </w:tr>
      <w:tr w:rsidR="00165BC5" w:rsidRPr="001A44AD" w14:paraId="4404CAC6"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590E4185" w14:textId="77777777" w:rsidR="00165BC5" w:rsidRPr="001A44AD" w:rsidRDefault="00165BC5" w:rsidP="004D5857">
            <w:pPr>
              <w:autoSpaceDN w:val="0"/>
              <w:rPr>
                <w:b/>
                <w:sz w:val="22"/>
                <w:szCs w:val="22"/>
              </w:rPr>
            </w:pPr>
            <w:r w:rsidRPr="001A44AD">
              <w:rPr>
                <w:b/>
                <w:sz w:val="22"/>
                <w:szCs w:val="22"/>
              </w:rPr>
              <w:t>4.2 punktas</w:t>
            </w:r>
          </w:p>
        </w:tc>
        <w:tc>
          <w:tcPr>
            <w:tcW w:w="8675" w:type="dxa"/>
            <w:tcBorders>
              <w:top w:val="single" w:sz="4" w:space="0" w:color="auto"/>
              <w:left w:val="single" w:sz="4" w:space="0" w:color="auto"/>
              <w:bottom w:val="single" w:sz="4" w:space="0" w:color="auto"/>
              <w:right w:val="single" w:sz="4" w:space="0" w:color="auto"/>
            </w:tcBorders>
            <w:hideMark/>
          </w:tcPr>
          <w:p w14:paraId="12F45F9D" w14:textId="77777777" w:rsidR="00165BC5" w:rsidRPr="001A44AD" w:rsidRDefault="00E46E67" w:rsidP="004D5857">
            <w:pPr>
              <w:autoSpaceDN w:val="0"/>
              <w:jc w:val="both"/>
              <w:rPr>
                <w:b/>
                <w:spacing w:val="-2"/>
                <w:sz w:val="22"/>
                <w:szCs w:val="22"/>
              </w:rPr>
            </w:pPr>
            <w:r w:rsidRPr="001A44AD">
              <w:rPr>
                <w:b/>
                <w:sz w:val="22"/>
                <w:szCs w:val="22"/>
              </w:rPr>
              <w:t>Prievolių įvykdymo užtikrinimas</w:t>
            </w:r>
          </w:p>
        </w:tc>
      </w:tr>
      <w:tr w:rsidR="00165BC5" w:rsidRPr="001A44AD" w14:paraId="7BE3932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06E3E560"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FE34660" w14:textId="77777777" w:rsidR="00923E64" w:rsidRPr="001A44AD" w:rsidRDefault="00923E64" w:rsidP="00E46E67">
            <w:pPr>
              <w:autoSpaceDE w:val="0"/>
              <w:autoSpaceDN w:val="0"/>
              <w:adjustRightInd w:val="0"/>
              <w:rPr>
                <w:b/>
                <w:bCs/>
                <w:i/>
                <w:sz w:val="22"/>
                <w:szCs w:val="22"/>
                <w:lang w:eastAsia="lt-LT"/>
              </w:rPr>
            </w:pPr>
          </w:p>
          <w:p w14:paraId="7D0FBB0C" w14:textId="77777777" w:rsidR="00E46E67" w:rsidRPr="001A44AD" w:rsidRDefault="00E46E67" w:rsidP="00E46E67">
            <w:pPr>
              <w:autoSpaceDE w:val="0"/>
              <w:autoSpaceDN w:val="0"/>
              <w:adjustRightInd w:val="0"/>
              <w:rPr>
                <w:b/>
                <w:bCs/>
                <w:i/>
                <w:sz w:val="22"/>
                <w:szCs w:val="22"/>
                <w:lang w:eastAsia="lt-LT"/>
              </w:rPr>
            </w:pPr>
            <w:r w:rsidRPr="001A44AD">
              <w:rPr>
                <w:b/>
                <w:bCs/>
                <w:i/>
                <w:sz w:val="22"/>
                <w:szCs w:val="22"/>
                <w:lang w:eastAsia="lt-LT"/>
              </w:rPr>
              <w:t>Pakeisti 4.2. punktą ir išdėstyti jį taip:</w:t>
            </w:r>
          </w:p>
          <w:p w14:paraId="5F87A408" w14:textId="77777777" w:rsidR="00E46E67" w:rsidRPr="001A44AD" w:rsidRDefault="00E46E67" w:rsidP="00E46E67">
            <w:pPr>
              <w:autoSpaceDE w:val="0"/>
              <w:autoSpaceDN w:val="0"/>
              <w:adjustRightInd w:val="0"/>
              <w:rPr>
                <w:b/>
                <w:bCs/>
                <w:i/>
                <w:sz w:val="22"/>
                <w:szCs w:val="22"/>
                <w:lang w:eastAsia="lt-LT"/>
              </w:rPr>
            </w:pPr>
          </w:p>
          <w:p w14:paraId="71ACBDAA" w14:textId="77777777" w:rsidR="00E46E67" w:rsidRPr="001A44AD" w:rsidRDefault="00E46E67" w:rsidP="00E46E67">
            <w:pPr>
              <w:widowControl w:val="0"/>
              <w:pBdr>
                <w:top w:val="nil"/>
                <w:left w:val="nil"/>
                <w:bottom w:val="nil"/>
                <w:right w:val="nil"/>
                <w:between w:val="nil"/>
              </w:pBdr>
              <w:tabs>
                <w:tab w:val="left" w:pos="567"/>
                <w:tab w:val="left" w:pos="851"/>
                <w:tab w:val="left" w:pos="992"/>
                <w:tab w:val="left" w:pos="1134"/>
              </w:tabs>
              <w:spacing w:before="96" w:after="96" w:line="259" w:lineRule="auto"/>
              <w:jc w:val="both"/>
              <w:rPr>
                <w:bCs/>
                <w:sz w:val="22"/>
                <w:szCs w:val="22"/>
              </w:rPr>
            </w:pPr>
            <w:r w:rsidRPr="001A44AD">
              <w:rPr>
                <w:bCs/>
                <w:sz w:val="22"/>
                <w:szCs w:val="22"/>
              </w:rPr>
              <w:t xml:space="preserve">Šalių prievolių pagal Sutartį įvykdymas yra užtikrinamas Sutarties įvykdymo užtikrinimu, </w:t>
            </w:r>
            <w:r w:rsidR="000018CD" w:rsidRPr="001A44AD">
              <w:rPr>
                <w:bCs/>
                <w:sz w:val="22"/>
                <w:szCs w:val="22"/>
              </w:rPr>
              <w:t>g</w:t>
            </w:r>
            <w:r w:rsidRPr="001A44AD">
              <w:rPr>
                <w:bCs/>
                <w:sz w:val="22"/>
                <w:szCs w:val="22"/>
              </w:rPr>
              <w:t xml:space="preserve">arantinių įsipareigojimų įvykdymo užtikrinimu, avanso grąžinimo užtikrinimu, sulaikoma suma </w:t>
            </w:r>
            <w:r w:rsidR="00FC1517" w:rsidRPr="001A44AD">
              <w:rPr>
                <w:bCs/>
                <w:sz w:val="22"/>
                <w:szCs w:val="22"/>
              </w:rPr>
              <w:t xml:space="preserve">ir </w:t>
            </w:r>
            <w:r w:rsidRPr="001A44AD">
              <w:rPr>
                <w:bCs/>
                <w:sz w:val="22"/>
                <w:szCs w:val="22"/>
              </w:rPr>
              <w:t>netesybomis.</w:t>
            </w:r>
            <w:r w:rsidRPr="001A44AD">
              <w:rPr>
                <w:sz w:val="22"/>
                <w:szCs w:val="22"/>
              </w:rPr>
              <w:t xml:space="preserve"> </w:t>
            </w:r>
          </w:p>
          <w:p w14:paraId="0AF51F24" w14:textId="77777777" w:rsidR="00E46E67" w:rsidRPr="001A44AD" w:rsidRDefault="00E46E67" w:rsidP="00E46E67">
            <w:pPr>
              <w:autoSpaceDE w:val="0"/>
              <w:autoSpaceDN w:val="0"/>
              <w:adjustRightInd w:val="0"/>
              <w:rPr>
                <w:b/>
                <w:bCs/>
                <w:i/>
                <w:sz w:val="22"/>
                <w:szCs w:val="22"/>
                <w:lang w:eastAsia="lt-LT"/>
              </w:rPr>
            </w:pPr>
          </w:p>
          <w:p w14:paraId="78B86FA2" w14:textId="77777777" w:rsidR="000018CD" w:rsidRPr="001A44AD" w:rsidRDefault="000018CD" w:rsidP="00E46E67">
            <w:pPr>
              <w:autoSpaceDE w:val="0"/>
              <w:autoSpaceDN w:val="0"/>
              <w:adjustRightInd w:val="0"/>
              <w:rPr>
                <w:bCs/>
                <w:sz w:val="22"/>
                <w:szCs w:val="22"/>
                <w:u w:val="single"/>
                <w:lang w:eastAsia="lt-LT"/>
              </w:rPr>
            </w:pPr>
            <w:r w:rsidRPr="001A44AD">
              <w:rPr>
                <w:bCs/>
                <w:sz w:val="22"/>
                <w:szCs w:val="22"/>
                <w:u w:val="single"/>
                <w:lang w:eastAsia="lt-LT"/>
              </w:rPr>
              <w:t>4.2.1. Sutarties įvykdymo užtikrinimas</w:t>
            </w:r>
          </w:p>
          <w:p w14:paraId="569F8599" w14:textId="77777777" w:rsidR="000018CD" w:rsidRPr="001A44AD" w:rsidRDefault="000018CD" w:rsidP="00E46E67">
            <w:pPr>
              <w:autoSpaceDE w:val="0"/>
              <w:autoSpaceDN w:val="0"/>
              <w:adjustRightInd w:val="0"/>
              <w:rPr>
                <w:b/>
                <w:bCs/>
                <w:i/>
                <w:sz w:val="22"/>
                <w:szCs w:val="22"/>
                <w:lang w:eastAsia="lt-LT"/>
              </w:rPr>
            </w:pPr>
          </w:p>
          <w:p w14:paraId="40D52037" w14:textId="1678C167" w:rsidR="00E60F95" w:rsidRPr="001A44AD" w:rsidRDefault="00E60F95" w:rsidP="00AC0023">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b/>
                <w:sz w:val="22"/>
                <w:szCs w:val="22"/>
                <w:lang w:eastAsia="en-US"/>
              </w:rPr>
            </w:pPr>
            <w:bookmarkStart w:id="22" w:name="_1c1lvlb" w:colFirst="0" w:colLast="0"/>
            <w:bookmarkStart w:id="23" w:name="_Ref88655038"/>
            <w:bookmarkEnd w:id="22"/>
            <w:r w:rsidRPr="001A44AD">
              <w:rPr>
                <w:rFonts w:eastAsia="Arial"/>
                <w:sz w:val="22"/>
                <w:szCs w:val="22"/>
                <w:lang w:eastAsia="en-US"/>
              </w:rPr>
              <w:t xml:space="preserve">Rangovas privalo per 10 darbo dienų po </w:t>
            </w:r>
            <w:r w:rsidR="00285ACE">
              <w:rPr>
                <w:rFonts w:eastAsia="Arial"/>
                <w:sz w:val="22"/>
                <w:szCs w:val="22"/>
                <w:lang w:eastAsia="en-US"/>
              </w:rPr>
              <w:t>to kai Užsakovas informuoja Rangovą apie Užsakovo projektui „</w:t>
            </w:r>
            <w:r w:rsidR="00285ACE" w:rsidRPr="00285ACE">
              <w:rPr>
                <w:rFonts w:eastAsia="Arial"/>
                <w:sz w:val="22"/>
                <w:szCs w:val="22"/>
                <w:lang w:eastAsia="en-US"/>
              </w:rPr>
              <w:t>Geriamojo vandens tiekimo bei nuotekų tvarkymo paslaugų prieinamumo didinimas Kėdainių rajone</w:t>
            </w:r>
            <w:r w:rsidR="00285ACE">
              <w:rPr>
                <w:rFonts w:eastAsia="Arial"/>
                <w:sz w:val="22"/>
                <w:szCs w:val="22"/>
                <w:lang w:eastAsia="en-US"/>
              </w:rPr>
              <w:t xml:space="preserve">“ skirtą finansavimą </w:t>
            </w:r>
            <w:r w:rsidRPr="001A44AD">
              <w:rPr>
                <w:rFonts w:eastAsia="Arial"/>
                <w:sz w:val="22"/>
                <w:szCs w:val="22"/>
                <w:lang w:eastAsia="en-US"/>
              </w:rPr>
              <w:t xml:space="preserve">pateikti Užsakovui ne mažesnį nei </w:t>
            </w:r>
            <w:r w:rsidRPr="001A44AD">
              <w:rPr>
                <w:rFonts w:eastAsia="Arial"/>
                <w:b/>
                <w:sz w:val="22"/>
                <w:szCs w:val="22"/>
                <w:lang w:eastAsia="en-US"/>
              </w:rPr>
              <w:t xml:space="preserve">5 proc. </w:t>
            </w:r>
            <w:r w:rsidR="00E46E67" w:rsidRPr="001A44AD">
              <w:rPr>
                <w:rFonts w:eastAsia="Arial"/>
                <w:sz w:val="22"/>
                <w:szCs w:val="22"/>
                <w:lang w:eastAsia="en-US"/>
              </w:rPr>
              <w:t>Pradinės sutarties vertės</w:t>
            </w:r>
            <w:r w:rsidRPr="001A44AD">
              <w:rPr>
                <w:rFonts w:eastAsia="Arial"/>
                <w:sz w:val="22"/>
                <w:szCs w:val="22"/>
                <w:lang w:eastAsia="en-US"/>
              </w:rPr>
              <w:t xml:space="preserve"> (Eur be PVM</w:t>
            </w:r>
            <w:r w:rsidRPr="001A44AD">
              <w:rPr>
                <w:rFonts w:eastAsia="Arial"/>
                <w:b/>
                <w:sz w:val="22"/>
                <w:szCs w:val="22"/>
                <w:lang w:eastAsia="en-US"/>
              </w:rPr>
              <w:t>)</w:t>
            </w:r>
            <w:r w:rsidRPr="001A44AD">
              <w:rPr>
                <w:rFonts w:eastAsia="Arial"/>
                <w:sz w:val="22"/>
                <w:szCs w:val="22"/>
                <w:lang w:eastAsia="en-US"/>
              </w:rPr>
              <w:t xml:space="preserve"> </w:t>
            </w:r>
            <w:r w:rsidRPr="001A44AD">
              <w:rPr>
                <w:rFonts w:eastAsia="Arial"/>
                <w:b/>
                <w:sz w:val="22"/>
                <w:szCs w:val="22"/>
                <w:lang w:eastAsia="en-US"/>
              </w:rPr>
              <w:t xml:space="preserve">banko </w:t>
            </w:r>
            <w:r w:rsidRPr="001A44AD">
              <w:rPr>
                <w:rFonts w:eastAsia="Arial"/>
                <w:sz w:val="22"/>
                <w:szCs w:val="22"/>
                <w:lang w:eastAsia="en-US"/>
              </w:rPr>
              <w:t>išduotą besąlyginį Sutarties įvykdymo užtikrinimą, atitinkantį šiame straipsnyje nurodytas sąlygas (</w:t>
            </w:r>
            <w:r w:rsidRPr="001A44AD">
              <w:rPr>
                <w:rFonts w:eastAsia="Arial"/>
                <w:b/>
                <w:bCs/>
                <w:sz w:val="22"/>
                <w:szCs w:val="22"/>
                <w:lang w:eastAsia="en-US"/>
              </w:rPr>
              <w:t>Sutarties įvykdymo užtikrinimas</w:t>
            </w:r>
            <w:r w:rsidRPr="001A44AD">
              <w:rPr>
                <w:rFonts w:eastAsia="Arial"/>
                <w:sz w:val="22"/>
                <w:szCs w:val="22"/>
                <w:lang w:eastAsia="en-US"/>
              </w:rPr>
              <w:t>)</w:t>
            </w:r>
            <w:bookmarkEnd w:id="23"/>
            <w:r w:rsidR="001465BE" w:rsidRPr="001A44AD">
              <w:rPr>
                <w:rFonts w:eastAsia="Arial"/>
                <w:sz w:val="22"/>
                <w:szCs w:val="22"/>
                <w:lang w:eastAsia="en-US"/>
              </w:rPr>
              <w:t>.</w:t>
            </w:r>
            <w:r w:rsidRPr="001A44AD">
              <w:rPr>
                <w:rFonts w:eastAsia="Arial"/>
                <w:sz w:val="22"/>
                <w:szCs w:val="22"/>
                <w:lang w:eastAsia="en-US"/>
              </w:rPr>
              <w:t xml:space="preserve"> </w:t>
            </w:r>
          </w:p>
          <w:p w14:paraId="4B41AB75" w14:textId="77777777" w:rsidR="00E60F95" w:rsidRPr="001A44AD" w:rsidRDefault="00E60F95" w:rsidP="00AC0023">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b/>
                <w:sz w:val="22"/>
                <w:szCs w:val="22"/>
                <w:lang w:eastAsia="en-US"/>
              </w:rPr>
            </w:pPr>
            <w:bookmarkStart w:id="24" w:name="_Ref93606680"/>
            <w:r w:rsidRPr="001A44AD">
              <w:rPr>
                <w:rFonts w:eastAsia="Arial"/>
                <w:sz w:val="22"/>
                <w:szCs w:val="22"/>
                <w:lang w:eastAsia="en-US"/>
              </w:rPr>
              <w:t>Sutarties įvykdymo užtikrinimo sąlygos:</w:t>
            </w:r>
            <w:bookmarkEnd w:id="24"/>
          </w:p>
          <w:p w14:paraId="315B7A4D"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5" w:name="_3w19e94" w:colFirst="0" w:colLast="0"/>
            <w:bookmarkStart w:id="26" w:name="_Ref88653618"/>
            <w:bookmarkEnd w:id="25"/>
            <w:r w:rsidRPr="001A44AD">
              <w:rPr>
                <w:rFonts w:eastAsia="Arial"/>
                <w:sz w:val="22"/>
                <w:szCs w:val="22"/>
                <w:lang w:eastAsia="en-US"/>
              </w:rPr>
              <w:t xml:space="preserve">a) Sutarties įvykdymo užtikrinimas turi būti besąlyginis, neatšaukiamas, pirmo pareikalavimo banko (garanto)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1D6FAACD" w14:textId="77777777" w:rsidR="000018CD"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b) 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w:t>
            </w:r>
            <w:r w:rsidR="000018CD" w:rsidRPr="001A44AD">
              <w:rPr>
                <w:rFonts w:eastAsia="Arial"/>
                <w:sz w:val="22"/>
                <w:szCs w:val="22"/>
                <w:lang w:eastAsia="en-US"/>
              </w:rPr>
              <w:t>,</w:t>
            </w:r>
            <w:r w:rsidRPr="001A44AD">
              <w:rPr>
                <w:rFonts w:eastAsia="Arial"/>
                <w:sz w:val="22"/>
                <w:szCs w:val="22"/>
                <w:lang w:eastAsia="en-US"/>
              </w:rPr>
              <w:t xml:space="preserve"> arba bendrovių grupė, kuriai jie priklauso;</w:t>
            </w:r>
          </w:p>
          <w:p w14:paraId="5FF8313E"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c) Sutarties įvykdymo užtikrinimas turi būti surašytas lietuvių arba anglų kalba (ir išverstas į lietuvių kalbą);</w:t>
            </w:r>
          </w:p>
          <w:p w14:paraId="4F860F42"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7" w:name="_Ref88862929"/>
            <w:r w:rsidRPr="001A44AD">
              <w:rPr>
                <w:rFonts w:eastAsia="Arial"/>
                <w:sz w:val="22"/>
                <w:szCs w:val="22"/>
                <w:lang w:eastAsia="en-US"/>
              </w:rPr>
              <w:t xml:space="preserve">d) Jeigu vykdant Sutartį Sutarties kaina tampa didesnė negu pradinės sutarties vertė, Rangovas privalo padidinti Sutarties įvykdymo užtikrinimo sumą, kad ji būtų ne mažesnė, negu </w:t>
            </w:r>
            <w:r w:rsidR="000018CD" w:rsidRPr="001A44AD">
              <w:rPr>
                <w:rFonts w:eastAsia="Arial"/>
                <w:sz w:val="22"/>
                <w:szCs w:val="22"/>
                <w:lang w:eastAsia="en-US"/>
              </w:rPr>
              <w:t>5 procentai</w:t>
            </w:r>
            <w:r w:rsidRPr="001A44AD">
              <w:rPr>
                <w:rFonts w:eastAsia="Arial"/>
                <w:sz w:val="22"/>
                <w:szCs w:val="22"/>
                <w:lang w:eastAsia="en-US"/>
              </w:rPr>
              <w:t xml:space="preserve"> nuo Sutarties kainos be PVM, ir pateikti tą patvirtinančius dokumentus Užsakovui per 10 darbo dienų nuo </w:t>
            </w:r>
            <w:r w:rsidR="00087BA0" w:rsidRPr="001A44AD">
              <w:rPr>
                <w:rFonts w:eastAsia="Arial"/>
                <w:sz w:val="22"/>
                <w:szCs w:val="22"/>
                <w:lang w:eastAsia="en-US"/>
              </w:rPr>
              <w:t>s</w:t>
            </w:r>
            <w:r w:rsidRPr="001A44AD">
              <w:rPr>
                <w:rFonts w:eastAsia="Arial"/>
                <w:sz w:val="22"/>
                <w:szCs w:val="22"/>
                <w:lang w:eastAsia="en-US"/>
              </w:rPr>
              <w:t>usitarimo, pagal kurį padidėja Sutarties kaina, sudarymo dienos. Rangovas privalo tokia pačia tvarka padidinti Sutarties įvykdymo užtikrinimo sumą kiekvieną kartą, kai padidėja Sutarties kaina;</w:t>
            </w:r>
            <w:bookmarkEnd w:id="26"/>
            <w:bookmarkEnd w:id="27"/>
            <w:r w:rsidRPr="001A44AD">
              <w:rPr>
                <w:rFonts w:eastAsia="Arial"/>
                <w:sz w:val="22"/>
                <w:szCs w:val="22"/>
                <w:lang w:eastAsia="en-US"/>
              </w:rPr>
              <w:t xml:space="preserve"> </w:t>
            </w:r>
            <w:r w:rsidR="00087BA0" w:rsidRPr="001A44AD">
              <w:rPr>
                <w:rFonts w:eastAsia="Arial"/>
                <w:sz w:val="22"/>
                <w:szCs w:val="22"/>
                <w:lang w:eastAsia="en-US"/>
              </w:rPr>
              <w:t>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65043ADB"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e) </w:t>
            </w:r>
            <w:r w:rsidR="00E60F95" w:rsidRPr="001A44AD">
              <w:rPr>
                <w:rFonts w:eastAsia="Arial"/>
                <w:sz w:val="22"/>
                <w:szCs w:val="22"/>
                <w:lang w:eastAsia="en-US"/>
              </w:rPr>
              <w:t>Užsakovo sutikimu gali būti pateikiami keli daliniai Sutarties įvykdymo užtikrinimai, kurių bendra suma yra ne mažesnė, nei reikalaujama</w:t>
            </w:r>
            <w:r w:rsidRPr="001A44AD">
              <w:rPr>
                <w:rFonts w:eastAsia="Arial"/>
                <w:sz w:val="22"/>
                <w:szCs w:val="22"/>
                <w:lang w:eastAsia="en-US"/>
              </w:rPr>
              <w:t xml:space="preserve">. </w:t>
            </w:r>
            <w:r w:rsidR="00E60F95" w:rsidRPr="001A44AD">
              <w:rPr>
                <w:rFonts w:eastAsia="Arial"/>
                <w:sz w:val="22"/>
                <w:szCs w:val="22"/>
                <w:lang w:eastAsia="en-US"/>
              </w:rPr>
              <w:t xml:space="preserve">Rangovo sutartinių įsipareigojimų neįvykdymo atveju Rangovas turi teisę nurodyti Užsakovui, pagal kurį dalinį Sutarties įvykdymo užtikrinimą Užsakovas turėtų pateikti reikalavimą pirmiausiai, bet tai neriboja Užsakovo teisės pateikti </w:t>
            </w:r>
            <w:r w:rsidR="00E60F95" w:rsidRPr="001A44AD">
              <w:rPr>
                <w:rFonts w:eastAsia="Arial"/>
                <w:sz w:val="22"/>
                <w:szCs w:val="22"/>
                <w:lang w:eastAsia="en-US"/>
              </w:rPr>
              <w:lastRenderedPageBreak/>
              <w:t xml:space="preserve">reikalavimus pagal kitus dalinius Sutarties įvykdymo užtikrinimus; </w:t>
            </w:r>
          </w:p>
          <w:p w14:paraId="6E52C244"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f) </w:t>
            </w:r>
            <w:r w:rsidR="00E60F95" w:rsidRPr="001A44AD">
              <w:rPr>
                <w:rFonts w:eastAsia="Arial"/>
                <w:sz w:val="22"/>
                <w:szCs w:val="22"/>
                <w:lang w:eastAsia="en-US"/>
              </w:rPr>
              <w:t>Sutarties įvykdymo užtikrinimo suma turi būti nurodoma ir išmokama eurais;</w:t>
            </w:r>
          </w:p>
          <w:p w14:paraId="77F39B51"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g) </w:t>
            </w:r>
            <w:r w:rsidR="00E60F95" w:rsidRPr="001A44AD">
              <w:rPr>
                <w:rFonts w:eastAsia="Arial"/>
                <w:sz w:val="22"/>
                <w:szCs w:val="22"/>
                <w:lang w:eastAsia="en-US"/>
              </w:rPr>
              <w:t>Reikalaujama pagal Sutarties įvykdymo užtikrinimą suma turi būti išmokama ne vėliau nei per 10 dienų po Užsakovo mokėjimo</w:t>
            </w:r>
            <w:r w:rsidRPr="001A44AD">
              <w:rPr>
                <w:rFonts w:eastAsia="Arial"/>
                <w:sz w:val="22"/>
                <w:szCs w:val="22"/>
                <w:lang w:eastAsia="en-US"/>
              </w:rPr>
              <w:t xml:space="preserve"> reikalavimo pateikimo garantui;</w:t>
            </w:r>
          </w:p>
          <w:p w14:paraId="579A72ED"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h) </w:t>
            </w:r>
            <w:r w:rsidR="00E60F95" w:rsidRPr="001A44AD">
              <w:rPr>
                <w:rFonts w:eastAsia="Arial"/>
                <w:sz w:val="22"/>
                <w:szCs w:val="22"/>
                <w:lang w:eastAsia="en-US"/>
              </w:rPr>
              <w:t>Sutarties įvykdymo užtikrinimas turi įsigalioti ne vėliau negu jo pateikimo Užsakovui dieną;</w:t>
            </w:r>
          </w:p>
          <w:p w14:paraId="5B37DBB7"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8" w:name="_Ref93605755"/>
            <w:bookmarkStart w:id="29" w:name="_Ref88653633"/>
            <w:r w:rsidRPr="001A44AD">
              <w:rPr>
                <w:rFonts w:eastAsia="Arial"/>
                <w:sz w:val="22"/>
                <w:szCs w:val="22"/>
                <w:lang w:eastAsia="en-US"/>
              </w:rPr>
              <w:t xml:space="preserve">i) </w:t>
            </w:r>
            <w:r w:rsidR="00E60F95" w:rsidRPr="001A44AD">
              <w:rPr>
                <w:rFonts w:eastAsia="Arial"/>
                <w:sz w:val="22"/>
                <w:szCs w:val="22"/>
                <w:lang w:eastAsia="en-US"/>
              </w:rPr>
              <w:t xml:space="preserve">Sutarties įvykdymo užtikrinime nurodytas jo galiojimo terminas turi būti ne trumpesnis negu 30 dienų po numatomos viso </w:t>
            </w:r>
            <w:r w:rsidRPr="001A44AD">
              <w:rPr>
                <w:rFonts w:eastAsia="Arial"/>
                <w:sz w:val="22"/>
                <w:szCs w:val="22"/>
                <w:lang w:eastAsia="en-US"/>
              </w:rPr>
              <w:t>o</w:t>
            </w:r>
            <w:r w:rsidR="00E60F95" w:rsidRPr="001A44AD">
              <w:rPr>
                <w:rFonts w:eastAsia="Arial"/>
                <w:sz w:val="22"/>
                <w:szCs w:val="22"/>
                <w:lang w:eastAsia="en-US"/>
              </w:rPr>
              <w:t xml:space="preserve">bjekto </w:t>
            </w:r>
            <w:r w:rsidRPr="001A44AD">
              <w:rPr>
                <w:rFonts w:eastAsia="Arial"/>
                <w:sz w:val="22"/>
                <w:szCs w:val="22"/>
                <w:lang w:eastAsia="en-US"/>
              </w:rPr>
              <w:t>d</w:t>
            </w:r>
            <w:r w:rsidR="00E60F95" w:rsidRPr="001A44AD">
              <w:rPr>
                <w:rFonts w:eastAsia="Arial"/>
                <w:sz w:val="22"/>
                <w:szCs w:val="22"/>
                <w:lang w:eastAsia="en-US"/>
              </w:rPr>
              <w:t>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bookmarkEnd w:id="28"/>
          </w:p>
          <w:p w14:paraId="08F4F1B9"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30" w:name="_Ref93605763"/>
            <w:r w:rsidRPr="001A44AD">
              <w:rPr>
                <w:rFonts w:eastAsia="Arial"/>
                <w:sz w:val="22"/>
                <w:szCs w:val="22"/>
                <w:lang w:eastAsia="en-US"/>
              </w:rPr>
              <w:t>j</w:t>
            </w:r>
            <w:bookmarkEnd w:id="29"/>
            <w:bookmarkEnd w:id="30"/>
            <w:r w:rsidRPr="001A44AD">
              <w:rPr>
                <w:rFonts w:eastAsia="Arial"/>
                <w:sz w:val="22"/>
                <w:szCs w:val="22"/>
                <w:lang w:eastAsia="en-US"/>
              </w:rPr>
              <w:t xml:space="preserve">) </w:t>
            </w:r>
            <w:bookmarkStart w:id="31" w:name="_qbtyoq" w:colFirst="0" w:colLast="0"/>
            <w:bookmarkStart w:id="32" w:name="_Ref88653644"/>
            <w:bookmarkStart w:id="33" w:name="_Ref93605940"/>
            <w:bookmarkEnd w:id="31"/>
            <w:r w:rsidR="00E60F95" w:rsidRPr="001A44AD">
              <w:rPr>
                <w:rFonts w:eastAsia="Arial"/>
                <w:sz w:val="22"/>
                <w:szCs w:val="22"/>
                <w:lang w:eastAsia="en-US"/>
              </w:rPr>
              <w:t xml:space="preserve">Jeigu likus 30 dienų iki Sutarties įvykdymo užtikrinimo galiojimo pabaigos paaiškėja, kad Sutarties įvykdymo užtikrinime nurodytas jo galiojimo terminas yra trumpesnis nei </w:t>
            </w:r>
            <w:r w:rsidRPr="001A44AD">
              <w:rPr>
                <w:rFonts w:eastAsia="Arial"/>
                <w:sz w:val="22"/>
                <w:szCs w:val="22"/>
                <w:lang w:eastAsia="en-US"/>
              </w:rPr>
              <w:t>reikalaujama</w:t>
            </w:r>
            <w:r w:rsidR="00E60F95" w:rsidRPr="001A44AD">
              <w:rPr>
                <w:rFonts w:eastAsia="Arial"/>
                <w:sz w:val="22"/>
                <w:szCs w:val="22"/>
                <w:lang w:eastAsia="en-US"/>
              </w:rPr>
              <w:t>, Rangovas privalo pratęsti Sutarties įvykdymo užtikrinimo galiojimą ir pateikti Užsakovui tai patvirtinantį dokumentą ne vėliau negu likus 14 dienų iki Sutarties įvykdymo užtikrinimo galiojimo pabaigos</w:t>
            </w:r>
            <w:bookmarkEnd w:id="32"/>
            <w:r w:rsidR="00E60F95" w:rsidRPr="001A44AD">
              <w:rPr>
                <w:rFonts w:eastAsia="Arial"/>
                <w:sz w:val="22"/>
                <w:szCs w:val="22"/>
                <w:lang w:eastAsia="en-US"/>
              </w:rPr>
              <w:t>;</w:t>
            </w:r>
            <w:bookmarkEnd w:id="33"/>
          </w:p>
          <w:p w14:paraId="37E9EB72"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 </w:t>
            </w:r>
            <w:r w:rsidR="00087BA0" w:rsidRPr="001A44AD">
              <w:rPr>
                <w:rFonts w:eastAsia="Arial"/>
                <w:sz w:val="22"/>
                <w:szCs w:val="22"/>
                <w:lang w:eastAsia="en-US"/>
              </w:rPr>
              <w:t xml:space="preserve">k) </w:t>
            </w:r>
            <w:r w:rsidRPr="001A44AD">
              <w:rPr>
                <w:rFonts w:eastAsia="Arial"/>
                <w:sz w:val="22"/>
                <w:szCs w:val="22"/>
                <w:lang w:eastAsia="en-US"/>
              </w:rPr>
              <w:t xml:space="preserve">Jeigu Užsakovas pagal </w:t>
            </w:r>
            <w:r w:rsidR="00087BA0" w:rsidRPr="001A44AD">
              <w:rPr>
                <w:rFonts w:eastAsia="Arial"/>
                <w:sz w:val="22"/>
                <w:szCs w:val="22"/>
                <w:u w:val="single"/>
                <w:lang w:eastAsia="en-US"/>
              </w:rPr>
              <w:t>l</w:t>
            </w:r>
            <w:r w:rsidRPr="001A44AD">
              <w:rPr>
                <w:rFonts w:eastAsia="Arial"/>
                <w:sz w:val="22"/>
                <w:szCs w:val="22"/>
                <w:lang w:eastAsia="en-US"/>
              </w:rPr>
              <w:t>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w:t>
            </w:r>
            <w:r w:rsidR="00087BA0" w:rsidRPr="001A44AD">
              <w:rPr>
                <w:rFonts w:eastAsia="Arial"/>
                <w:sz w:val="22"/>
                <w:szCs w:val="22"/>
                <w:lang w:eastAsia="en-US"/>
              </w:rPr>
              <w:t xml:space="preserve">. </w:t>
            </w:r>
            <w:r w:rsidRPr="001A44AD">
              <w:rPr>
                <w:rFonts w:eastAsia="Arial"/>
                <w:sz w:val="22"/>
                <w:szCs w:val="22"/>
                <w:lang w:eastAsia="en-US"/>
              </w:rPr>
              <w:t>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23FA58D2"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l) </w:t>
            </w:r>
            <w:r w:rsidR="00E60F95" w:rsidRPr="001A44AD">
              <w:rPr>
                <w:rFonts w:eastAsia="Arial"/>
                <w:sz w:val="22"/>
                <w:szCs w:val="22"/>
                <w:lang w:eastAsia="en-US"/>
              </w:rPr>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562E330D" w14:textId="77777777" w:rsidR="00087BA0"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m) </w:t>
            </w:r>
            <w:r w:rsidR="00E60F95" w:rsidRPr="001A44AD">
              <w:rPr>
                <w:rFonts w:eastAsia="Arial"/>
                <w:sz w:val="22"/>
                <w:szCs w:val="22"/>
                <w:lang w:eastAsia="en-US"/>
              </w:rPr>
              <w:t xml:space="preserve">Sutarties įvykdymo užtikrinimo suma gali būti mažinama tik garanto išmokėtomis sumomis; </w:t>
            </w:r>
          </w:p>
          <w:p w14:paraId="45694D7E" w14:textId="1E0E7488" w:rsidR="000018CD" w:rsidRPr="001A44AD" w:rsidRDefault="000018CD"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n) Sutarties įvykdymo užtikrinimas gali būti pervestas į UAB „</w:t>
            </w:r>
            <w:r w:rsidR="003F5771">
              <w:rPr>
                <w:rFonts w:eastAsia="Arial"/>
                <w:sz w:val="22"/>
                <w:szCs w:val="22"/>
                <w:lang w:eastAsia="en-US"/>
              </w:rPr>
              <w:t>Kėdainių</w:t>
            </w:r>
            <w:r w:rsidRPr="001A44AD">
              <w:rPr>
                <w:rFonts w:eastAsia="Arial"/>
                <w:sz w:val="22"/>
                <w:szCs w:val="22"/>
                <w:lang w:eastAsia="en-US"/>
              </w:rPr>
              <w:t xml:space="preserve"> vandenys“ (įmonės kodas </w:t>
            </w:r>
            <w:r w:rsidR="00F267A9" w:rsidRPr="00F267A9">
              <w:rPr>
                <w:rFonts w:eastAsia="Arial"/>
                <w:sz w:val="22"/>
                <w:szCs w:val="22"/>
                <w:lang w:eastAsia="en-US"/>
              </w:rPr>
              <w:t>161186428</w:t>
            </w:r>
            <w:r w:rsidRPr="001A44AD">
              <w:rPr>
                <w:rFonts w:eastAsia="Arial"/>
                <w:sz w:val="22"/>
                <w:szCs w:val="22"/>
                <w:lang w:eastAsia="en-US"/>
              </w:rPr>
              <w:t>) sąskaitą banke.</w:t>
            </w:r>
          </w:p>
          <w:p w14:paraId="73CEB775" w14:textId="77777777" w:rsidR="00165BC5" w:rsidRPr="001A44AD" w:rsidRDefault="00165BC5" w:rsidP="004D5857">
            <w:pPr>
              <w:keepLines/>
              <w:suppressLineNumbers/>
              <w:suppressAutoHyphens/>
              <w:autoSpaceDN w:val="0"/>
              <w:ind w:right="57"/>
              <w:jc w:val="both"/>
              <w:rPr>
                <w:b/>
                <w:bCs/>
                <w:spacing w:val="-2"/>
                <w:sz w:val="22"/>
                <w:szCs w:val="22"/>
              </w:rPr>
            </w:pPr>
            <w:bookmarkStart w:id="34" w:name="_2b6jogx" w:colFirst="0" w:colLast="0"/>
            <w:bookmarkEnd w:id="34"/>
          </w:p>
          <w:p w14:paraId="5C60F7CB" w14:textId="77777777" w:rsidR="000018CD" w:rsidRPr="001A44AD" w:rsidRDefault="000018CD" w:rsidP="004D5857">
            <w:pPr>
              <w:keepLines/>
              <w:suppressLineNumbers/>
              <w:suppressAutoHyphens/>
              <w:autoSpaceDN w:val="0"/>
              <w:ind w:right="57"/>
              <w:jc w:val="both"/>
              <w:rPr>
                <w:bCs/>
                <w:spacing w:val="-2"/>
                <w:sz w:val="22"/>
                <w:szCs w:val="22"/>
                <w:u w:val="single"/>
              </w:rPr>
            </w:pPr>
            <w:r w:rsidRPr="001A44AD">
              <w:rPr>
                <w:bCs/>
                <w:spacing w:val="-2"/>
                <w:sz w:val="22"/>
                <w:szCs w:val="22"/>
                <w:u w:val="single"/>
              </w:rPr>
              <w:t>4.2.2. Garantinių įsipareigojimų įvykdymo užtikrinimas</w:t>
            </w:r>
          </w:p>
          <w:p w14:paraId="0F0EFCFE" w14:textId="77777777" w:rsidR="000018CD" w:rsidRPr="001A44AD" w:rsidRDefault="000018CD" w:rsidP="004D5857">
            <w:pPr>
              <w:keepLines/>
              <w:suppressLineNumbers/>
              <w:suppressAutoHyphens/>
              <w:autoSpaceDN w:val="0"/>
              <w:ind w:right="57"/>
              <w:jc w:val="both"/>
              <w:rPr>
                <w:bCs/>
                <w:spacing w:val="-2"/>
                <w:sz w:val="22"/>
                <w:szCs w:val="22"/>
                <w:u w:val="single"/>
              </w:rPr>
            </w:pPr>
          </w:p>
          <w:p w14:paraId="4D0C525F" w14:textId="1CD57D24" w:rsidR="000018CD" w:rsidRPr="001A44AD" w:rsidRDefault="00344949" w:rsidP="000018CD">
            <w:pPr>
              <w:pStyle w:val="Heading3"/>
              <w:keepNext w:val="0"/>
              <w:keepLines w:val="0"/>
              <w:widowControl w:val="0"/>
              <w:numPr>
                <w:ilvl w:val="2"/>
                <w:numId w:val="13"/>
              </w:numPr>
              <w:rPr>
                <w:rFonts w:ascii="Times New Roman" w:hAnsi="Times New Roman" w:cs="Times New Roman"/>
                <w:color w:val="auto"/>
                <w:sz w:val="22"/>
                <w:szCs w:val="22"/>
                <w:u w:val="none"/>
              </w:rPr>
            </w:pPr>
            <w:r>
              <w:rPr>
                <w:rFonts w:ascii="Times New Roman" w:hAnsi="Times New Roman" w:cs="Times New Roman"/>
                <w:color w:val="auto"/>
                <w:sz w:val="22"/>
                <w:szCs w:val="22"/>
                <w:u w:val="none"/>
              </w:rPr>
              <w:t>Rangovas turi pateikti g</w:t>
            </w:r>
            <w:r w:rsidR="000018CD" w:rsidRPr="001A44AD">
              <w:rPr>
                <w:rFonts w:ascii="Times New Roman" w:hAnsi="Times New Roman" w:cs="Times New Roman"/>
                <w:color w:val="auto"/>
                <w:sz w:val="22"/>
                <w:szCs w:val="22"/>
                <w:u w:val="none"/>
              </w:rPr>
              <w:t>arantinių įsipareigojimų įvykdymo užtikrinim</w:t>
            </w:r>
            <w:r>
              <w:rPr>
                <w:rFonts w:ascii="Times New Roman" w:hAnsi="Times New Roman" w:cs="Times New Roman"/>
                <w:color w:val="auto"/>
                <w:sz w:val="22"/>
                <w:szCs w:val="22"/>
                <w:u w:val="none"/>
              </w:rPr>
              <w:t xml:space="preserve">ą, ne mažesnei kaip </w:t>
            </w:r>
            <w:r w:rsidRPr="00344949">
              <w:rPr>
                <w:rFonts w:ascii="Times New Roman" w:hAnsi="Times New Roman" w:cs="Times New Roman"/>
                <w:b/>
                <w:color w:val="auto"/>
                <w:sz w:val="22"/>
                <w:szCs w:val="22"/>
                <w:u w:val="none"/>
              </w:rPr>
              <w:t xml:space="preserve">5 (penkių) procentų </w:t>
            </w:r>
            <w:r>
              <w:rPr>
                <w:rFonts w:ascii="Times New Roman" w:hAnsi="Times New Roman" w:cs="Times New Roman"/>
                <w:color w:val="auto"/>
                <w:sz w:val="22"/>
                <w:szCs w:val="22"/>
                <w:u w:val="none"/>
              </w:rPr>
              <w:t xml:space="preserve">Statybos kainos (Statybos kaina – pagal </w:t>
            </w:r>
            <w:r w:rsidR="0081239B">
              <w:rPr>
                <w:rFonts w:ascii="Times New Roman" w:hAnsi="Times New Roman" w:cs="Times New Roman"/>
                <w:color w:val="auto"/>
                <w:sz w:val="22"/>
                <w:szCs w:val="22"/>
                <w:u w:val="none"/>
              </w:rPr>
              <w:t>S</w:t>
            </w:r>
            <w:r>
              <w:rPr>
                <w:rFonts w:ascii="Times New Roman" w:hAnsi="Times New Roman" w:cs="Times New Roman"/>
                <w:color w:val="auto"/>
                <w:sz w:val="22"/>
                <w:szCs w:val="22"/>
                <w:u w:val="none"/>
              </w:rPr>
              <w:t>utartį mokėtina galutinė bendra suma) (su PVM) sumai. Garantinių įsipareigojimų įvykdymo užtikrinimas</w:t>
            </w:r>
            <w:r w:rsidR="000018CD" w:rsidRPr="001A44AD">
              <w:rPr>
                <w:rFonts w:ascii="Times New Roman" w:hAnsi="Times New Roman" w:cs="Times New Roman"/>
                <w:color w:val="auto"/>
                <w:sz w:val="22"/>
                <w:szCs w:val="22"/>
                <w:u w:val="none"/>
              </w:rPr>
              <w:t xml:space="preserve">  turi būti besąlyginis, neatšaukiamas, pirmo pareikalavimo banko (garanto) arba draudimo bendrovės (draudiko) įsipareigojimas sumokėti Užsakovui jo reikalaujamą sumą, jeigu Užsakovas pateikia mokėjimo reikalavimą ir jame nurodo: (i) kad Rangovas pažeidė savo įsipareigojimą ištaisyti defektą (-us) ar žalą, už kuriuos jis yra atsakingas pagal Sutartį, arba tinkamai neįvykdė kito garantinio įsipareigojimo pagal Sutartį, įskaitant atvejus, kai Rangovas yra nemokus, jo atžvilgiu yra pradėtos bankroto procedūros arba Rangovas likviduotas dėl bankroto, ir (ii) tokio defekto (-ų), žalos ar kitokio Rangovo įsipareigojimo (-ų) pagal Sutartį pažeidimo pobūdį;</w:t>
            </w:r>
            <w:r w:rsidR="000018CD" w:rsidRPr="001A44AD">
              <w:rPr>
                <w:rFonts w:ascii="Times New Roman" w:hAnsi="Times New Roman" w:cs="Times New Roman"/>
                <w:color w:val="auto"/>
                <w:sz w:val="22"/>
                <w:szCs w:val="22"/>
              </w:rPr>
              <w:t xml:space="preserve"> </w:t>
            </w:r>
          </w:p>
          <w:p w14:paraId="6CC0E5E5"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Laidavimo draudimo atveju draudžiamuoju įvykiu turi būti laikomas pirmasis Užsakovo pareikalavimas sumokėti draudimo išmoką dėl garantinių įsipareigojimų neįvykdymo;</w:t>
            </w:r>
          </w:p>
          <w:p w14:paraId="3F4064CC"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Garantinių įsipareigojimų įvykdymo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w:t>
            </w:r>
            <w:r w:rsidRPr="001A44AD">
              <w:rPr>
                <w:rFonts w:ascii="Times New Roman" w:hAnsi="Times New Roman" w:cs="Times New Roman"/>
                <w:color w:val="auto"/>
                <w:sz w:val="22"/>
                <w:szCs w:val="22"/>
                <w:u w:val="none"/>
              </w:rPr>
              <w:lastRenderedPageBreak/>
              <w:t>užtikrinimą, arba bendrovių grupė, kuriai jie priklauso;</w:t>
            </w:r>
          </w:p>
          <w:p w14:paraId="2467C173"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užtikrinimas turi būti surašytas lietuvių arba anglų kalba (ir išverstas į lietuvių kalbą);</w:t>
            </w:r>
          </w:p>
          <w:p w14:paraId="3B751C5D"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bookmarkStart w:id="35" w:name="_Ref84512104"/>
            <w:r w:rsidRPr="001A44AD">
              <w:rPr>
                <w:rFonts w:ascii="Times New Roman" w:hAnsi="Times New Roman" w:cs="Times New Roman"/>
                <w:color w:val="auto"/>
                <w:sz w:val="22"/>
                <w:szCs w:val="22"/>
                <w:u w:val="none"/>
              </w:rPr>
              <w:t>Reikalaujama pagal Garantinių įsipareigojimų įvykdymo užtikrinimą suma turi būti išmokama ne vėliau nei per 10 dienų po Užsakovo mokėjimo reikalavimo pateikimo garantui arba draudikui;</w:t>
            </w:r>
          </w:p>
          <w:p w14:paraId="16CDEF7C"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 Garantinių įsipareigojimų įvykdymo užtikrinimas turi įsigalioti ne vėliau negu Garantinių terminų pradžios dieną;</w:t>
            </w:r>
          </w:p>
          <w:p w14:paraId="75691766"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bookmarkStart w:id="36" w:name="_Ref88653676"/>
            <w:bookmarkEnd w:id="35"/>
            <w:r w:rsidRPr="001A44AD">
              <w:rPr>
                <w:rFonts w:ascii="Times New Roman" w:hAnsi="Times New Roman" w:cs="Times New Roman"/>
                <w:color w:val="auto"/>
                <w:sz w:val="22"/>
                <w:szCs w:val="22"/>
                <w:u w:val="none"/>
              </w:rPr>
              <w:t>Jeigu likus 30 dienų iki Garantinių įsipareigojimų įvykdymo užtikrinimo galiojimo pabaigos paaiškėja, kad Garantinių įsipareigojimų įvykdymo užtikrinime nurodytas jo galiojimo terminas yra trumpesnis nei reikalaujama, Rangovas privalo pratęsti Garantinių įsipareigojimų įvykdymo užtikrinimo galiojimą ir pateikti Užsakovui tai patvirtinantį dokumentą ne vėliau negu likus 14 dienų iki Garantinių įsipareigojimų įvykdymo užtikrinimo galiojimo pabaigos;</w:t>
            </w:r>
            <w:bookmarkEnd w:id="36"/>
            <w:r w:rsidRPr="001A44AD">
              <w:rPr>
                <w:rFonts w:ascii="Times New Roman" w:hAnsi="Times New Roman" w:cs="Times New Roman"/>
                <w:color w:val="auto"/>
                <w:sz w:val="22"/>
                <w:szCs w:val="22"/>
                <w:u w:val="none"/>
              </w:rPr>
              <w:t xml:space="preserve"> </w:t>
            </w:r>
            <w:bookmarkStart w:id="37" w:name="_Ref93525812"/>
            <w:r w:rsidRPr="001A44AD">
              <w:rPr>
                <w:rFonts w:ascii="Times New Roman" w:hAnsi="Times New Roman" w:cs="Times New Roman"/>
                <w:color w:val="auto"/>
                <w:sz w:val="22"/>
                <w:szCs w:val="22"/>
                <w:u w:val="none"/>
              </w:rPr>
              <w:t xml:space="preserve"> Jeigu Užsakovas laiku negauna Garantinių įsipareigojimų įvykdymo užtikrinimo pratęsimą patvirtinančio dokumento, Užsakovas turi teisę pareikalauti sumokėti visą Garantinių įsipareigojimų įvykdymo užtikrinimo sumą, kad ją pasiliktų kaip Rangovo garantinių įsipareigojimų įvykdymo užtikrinimą (užstatą) ir naudotų pašalinti defektams bei jų sąlygotai žalai tais atvejais, kai Rangovas nevykdo savo garantinių įsipareigojimų. Tuo tikslu Garantinių įsipareigojimų įvykdymo užtikrinime turi būti numatytas garanto arba draudiko besąlyginis įsipareigojimas sumokėti Užsakovui jo mokėjimo reikalavime nurodytą sumą, jeigu likus 30 dienų iki užtikrinimo galiojimo pabaigos nėra suėję Garantinių terminų pirmieji 3 metai, Rangovas nepratęsė užtikrinimo galiojimo termino ir (arba) nepateikė Užsakovui tą patvirtinančio dokumento likus 14 dienų iki užtikrinimo galiojimo pabaigos;</w:t>
            </w:r>
            <w:bookmarkEnd w:id="37"/>
          </w:p>
          <w:p w14:paraId="5BB39C77"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užtikrinime turi būti numatytas garanto arba draudiko besąlyginis įsipareigojimas sumokėti Užsakovui jo mokėjimo reikalavime nurodytą sumą tiek kompensuoti Užsakovo jau patirtoms išlaidoms dėl Rangovo pažeidimų, tiek apmokėti realioms būsimoms Užsakovo išlaidoms;</w:t>
            </w:r>
          </w:p>
          <w:p w14:paraId="1486572D"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užtikrinimo suma gali būti mažinama tik garanto ar draudiko išmokėtomis sumomis;</w:t>
            </w:r>
          </w:p>
          <w:p w14:paraId="00CB19F1"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jį teikiančio asmens įgaliojimus įrodančius dokumentus elektroniniu būdu, aiškiai aprašytu Garantinių įsipareigojimų įvykdymo užtikrinime;</w:t>
            </w:r>
          </w:p>
          <w:p w14:paraId="0AAED5B2"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kitus dokumentus tokia kalba, kokia yra išduotas garantinių įsipareigojimų įvykdymo užtikrinimas;</w:t>
            </w:r>
          </w:p>
          <w:p w14:paraId="7048C868"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Turi būti numatyta, kad Garantinių įsipareigojimų įvykdymo užtikrinimui turi būti taikomi Lietuvos Respublikos įstatymai, banko pateiktam užtikrinimui – Lietuvos Respublikos įstatymai arba Bendrosios garantijų pagal pirmą pareikalavimą taisyklės (Uniform Rules for Demand Guarantees, URDG, ICC Publication No. 758, 2010 m. redakcija); </w:t>
            </w:r>
          </w:p>
          <w:p w14:paraId="333D32B5" w14:textId="77777777" w:rsidR="00C900A2" w:rsidRPr="001A44AD" w:rsidRDefault="00C900A2" w:rsidP="00C900A2">
            <w:pPr>
              <w:rPr>
                <w:sz w:val="22"/>
                <w:szCs w:val="22"/>
                <w:lang w:eastAsia="en-US"/>
              </w:rPr>
            </w:pPr>
          </w:p>
          <w:p w14:paraId="4DCF21CB" w14:textId="77777777" w:rsidR="000018CD" w:rsidRPr="001A44AD" w:rsidRDefault="00C900A2" w:rsidP="00C900A2">
            <w:pPr>
              <w:keepLines/>
              <w:suppressLineNumbers/>
              <w:pBdr>
                <w:top w:val="nil"/>
                <w:left w:val="nil"/>
                <w:bottom w:val="nil"/>
                <w:right w:val="nil"/>
                <w:between w:val="nil"/>
              </w:pBdr>
              <w:suppressAutoHyphens/>
              <w:autoSpaceDN w:val="0"/>
              <w:ind w:right="57"/>
              <w:jc w:val="both"/>
              <w:rPr>
                <w:bCs/>
                <w:spacing w:val="-2"/>
                <w:sz w:val="22"/>
                <w:szCs w:val="22"/>
                <w:u w:val="single"/>
              </w:rPr>
            </w:pPr>
            <w:bookmarkStart w:id="38" w:name="_3nqndbk" w:colFirst="0" w:colLast="0"/>
            <w:bookmarkEnd w:id="38"/>
            <w:r w:rsidRPr="001A44AD">
              <w:rPr>
                <w:bCs/>
                <w:spacing w:val="-2"/>
                <w:sz w:val="22"/>
                <w:szCs w:val="22"/>
                <w:u w:val="single"/>
              </w:rPr>
              <w:t>4.2.3. Avanso grąžinimo užtikrinimas</w:t>
            </w:r>
          </w:p>
          <w:p w14:paraId="1E5052FF" w14:textId="77777777" w:rsidR="00C900A2" w:rsidRPr="001A44AD" w:rsidRDefault="00C900A2" w:rsidP="00C900A2">
            <w:pPr>
              <w:pStyle w:val="Heading3"/>
              <w:keepNext w:val="0"/>
              <w:keepLines w:val="0"/>
              <w:widowControl w:val="0"/>
              <w:rPr>
                <w:rFonts w:ascii="Times New Roman" w:hAnsi="Times New Roman" w:cs="Times New Roman"/>
                <w:color w:val="auto"/>
                <w:sz w:val="22"/>
                <w:szCs w:val="22"/>
                <w:u w:val="none"/>
              </w:rPr>
            </w:pPr>
          </w:p>
          <w:p w14:paraId="0A8CC9D8"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užtikrinimas turi būti besąlyginė, neatšaukiama, pirmo pareikalavimo garantija arba laidavimo draudimas, pagal kurį garantas arba draudikas įsipareigoja sumokėti Užsakovui jo reikalaujamą sumą, jeigu Užsakovas pateikia mokėjimo reikalavimą ir jame nurodo, kad Rangovas negrąžino sumokėto avanso pagal Sutarties sąlygas, bei sumą, kurios Rangovas negrąžino;</w:t>
            </w:r>
          </w:p>
          <w:p w14:paraId="562828B4"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bookmarkStart w:id="39" w:name="_Hlk85471316"/>
            <w:r w:rsidRPr="001A44AD">
              <w:rPr>
                <w:rFonts w:ascii="Times New Roman" w:hAnsi="Times New Roman" w:cs="Times New Roman"/>
                <w:color w:val="auto"/>
                <w:sz w:val="22"/>
                <w:szCs w:val="22"/>
                <w:u w:val="none"/>
              </w:rPr>
              <w:t xml:space="preserve">Avanso grąžinimo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w:t>
            </w:r>
            <w:r w:rsidRPr="001A44AD">
              <w:rPr>
                <w:rFonts w:ascii="Times New Roman" w:hAnsi="Times New Roman" w:cs="Times New Roman"/>
                <w:color w:val="auto"/>
                <w:sz w:val="22"/>
                <w:szCs w:val="22"/>
                <w:u w:val="none"/>
              </w:rPr>
              <w:lastRenderedPageBreak/>
              <w:t>užtikrinimą, arba bendrovių grupė, kuriai jie priklauso;</w:t>
            </w:r>
            <w:bookmarkEnd w:id="39"/>
          </w:p>
          <w:p w14:paraId="5DAE54EF"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užtikrinimas turi būti surašytas lietuvių arba anglų kalba (ir išverstas į lietuvių kalbą);</w:t>
            </w:r>
          </w:p>
          <w:p w14:paraId="03FD42F9"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sz w:val="22"/>
                <w:szCs w:val="22"/>
                <w:u w:val="none"/>
              </w:rPr>
              <w:t>Avanso grąžinimo užtikrinimo suma turi būti lygi Rangovo prašomai avanso sumai ir turi būti</w:t>
            </w:r>
            <w:r w:rsidRPr="001A44AD">
              <w:rPr>
                <w:sz w:val="22"/>
                <w:szCs w:val="22"/>
              </w:rPr>
              <w:t xml:space="preserve"> </w:t>
            </w:r>
            <w:r w:rsidRPr="001A44AD">
              <w:rPr>
                <w:rFonts w:ascii="Times New Roman" w:hAnsi="Times New Roman" w:cs="Times New Roman"/>
                <w:color w:val="auto"/>
                <w:sz w:val="22"/>
                <w:szCs w:val="22"/>
                <w:u w:val="none"/>
              </w:rPr>
              <w:t>nurodoma ir išmokama eurais;</w:t>
            </w:r>
          </w:p>
          <w:p w14:paraId="25FEFE62"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Reikalaujama pagal avanso grąžinimo užtikrinimą suma turi būti išmokama ne vėliau nei per 10 dienų po Užsakovo mokėjimo reikalavimo pateikimo garantui arba draudikui;</w:t>
            </w:r>
          </w:p>
          <w:p w14:paraId="4271CAB8"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užtikrinimas turi įsigalioti ne vėliau, negu avanso sumokėjimo Rangovui (avanso įskaitymo į Rangovo banko sąskaitą) momentu;</w:t>
            </w:r>
          </w:p>
          <w:p w14:paraId="227ADBDF"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bookmarkStart w:id="40" w:name="_Ref88935979"/>
            <w:r w:rsidRPr="001A44AD">
              <w:rPr>
                <w:rFonts w:ascii="Times New Roman" w:hAnsi="Times New Roman" w:cs="Times New Roman"/>
                <w:color w:val="auto"/>
                <w:sz w:val="22"/>
                <w:szCs w:val="22"/>
                <w:u w:val="none"/>
              </w:rPr>
              <w:t>Rangovas privalo užtikrinti, kad avanso grąžinimo užtikrinimas galiotų ir būtų įvykdomas iki tol, kol visa avanso suma bus išskaityta iš mokėtinų sumų už atliktus Darbus arba Rangovas grąžins Užsakovui likusią neišskaitytą avanso sumą;</w:t>
            </w:r>
            <w:bookmarkEnd w:id="40"/>
            <w:r w:rsidRPr="001A44AD">
              <w:rPr>
                <w:rFonts w:ascii="Times New Roman" w:hAnsi="Times New Roman" w:cs="Times New Roman"/>
                <w:color w:val="auto"/>
                <w:sz w:val="22"/>
                <w:szCs w:val="22"/>
                <w:u w:val="none"/>
              </w:rPr>
              <w:t xml:space="preserve"> </w:t>
            </w:r>
          </w:p>
          <w:p w14:paraId="5E51CA7C"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Jeigu Rangovas negrąžina Užsakovui avanso likus 30 dienų iki avanso grąžinimo užtikrinimo galiojimo pabaigos, Rangovas privalo pratęsti avanso grąžinimo užtikrinimo galiojimą iki tol, kol bus grąžintas visas avansas</w:t>
            </w:r>
            <w:r w:rsidR="00A950D8" w:rsidRPr="001A44AD">
              <w:rPr>
                <w:rFonts w:ascii="Times New Roman" w:hAnsi="Times New Roman" w:cs="Times New Roman"/>
                <w:color w:val="auto"/>
                <w:sz w:val="22"/>
                <w:szCs w:val="22"/>
                <w:u w:val="none"/>
              </w:rPr>
              <w:t>.</w:t>
            </w:r>
            <w:r w:rsidRPr="001A44AD">
              <w:rPr>
                <w:rFonts w:ascii="Times New Roman" w:hAnsi="Times New Roman" w:cs="Times New Roman"/>
                <w:color w:val="auto"/>
                <w:sz w:val="22"/>
                <w:szCs w:val="22"/>
                <w:u w:val="none"/>
              </w:rPr>
              <w:t xml:space="preserve"> Rangovas privalo pateikti Užsakovui dokumentą, patvirtinantį avanso grąžinimo užtikrinimo galiojimo termino pratęsimą, ne vėliau negu likus 14 dienų iki avanso grąžinimo užtikrinimo galiojimo pabaigos. Jeigu Užsakovas laiku negauna tokio dokumento, Užsakovas turi teisę pagal avanso grąžinimo užtikrinimą pareikalauti sumokėti visą avanso likutį. Avanso grąžinimo užtikrinime turi būti numatytas garanto arba draudiko besąlyginis įsipareigojimas sumokėti Užsakovui negrąžintą avanso sumą, jeigu Rangovas negrąžino Užsakovui viso avanso likus 30 dienų iki avanso grąžinimo užtikrinimo galiojimo termino pabaigos, nepratęsė užtikrinimo galiojimo termino ir (arba) nepateikė Užsakovui tą patvirtinančio dokumento likus 14 dienų iki užtikrinimo galiojimo pabaigos;</w:t>
            </w:r>
          </w:p>
          <w:p w14:paraId="02D1D409"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užtikrinimo suma gali būti mažinama Rangovo grąžintomis (išskaitytomis) avanso sumomis;</w:t>
            </w:r>
          </w:p>
          <w:p w14:paraId="46C020B4"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jį teikiančio asmens įgaliojimus įrodančius dokumentus elektroniniu būdu, aiškiai aprašytu avanso grąžinimo užtikrinime;</w:t>
            </w:r>
          </w:p>
          <w:p w14:paraId="53B38583"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kitus dokumentus tokia kalba, kokia yra išduotas avanso grąžinimo užtikrinimas;</w:t>
            </w:r>
          </w:p>
          <w:p w14:paraId="2915E78E"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avanso grąžinimo užtikrinimui turi būti taikomi Lietuvos Respublikos įstatymai, o banko pateiktam užtikrinimui – Lietuvos Respublikos įstatymai arba Bendrosios garantijų pagal pirmą pareikalavimą taisyklės (</w:t>
            </w:r>
            <w:r w:rsidRPr="006646EC">
              <w:rPr>
                <w:rFonts w:ascii="Times New Roman" w:hAnsi="Times New Roman" w:cs="Times New Roman"/>
                <w:color w:val="auto"/>
                <w:sz w:val="22"/>
                <w:szCs w:val="22"/>
                <w:u w:val="none"/>
              </w:rPr>
              <w:t>Uniform Rules for Demand Guarantees, URDG, ICC Publication No</w:t>
            </w:r>
            <w:r w:rsidRPr="001A44AD">
              <w:rPr>
                <w:rFonts w:ascii="Times New Roman" w:hAnsi="Times New Roman" w:cs="Times New Roman"/>
                <w:color w:val="auto"/>
                <w:sz w:val="22"/>
                <w:szCs w:val="22"/>
                <w:u w:val="none"/>
              </w:rPr>
              <w:t xml:space="preserve">. 758, 2010 m. redakcija); </w:t>
            </w:r>
          </w:p>
          <w:p w14:paraId="4860FAD1"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bet kokius ginčus tarp garanto arba draudiko ir Užsakovo, susijusius su avanso grąžinimo užtikrinimu, spręs Lietuvos Respublikos teismai.</w:t>
            </w:r>
          </w:p>
          <w:p w14:paraId="4B8301A9" w14:textId="77777777" w:rsidR="00C900A2" w:rsidRPr="001A44AD" w:rsidRDefault="00C900A2" w:rsidP="00C900A2">
            <w:pPr>
              <w:keepLines/>
              <w:suppressLineNumbers/>
              <w:pBdr>
                <w:top w:val="nil"/>
                <w:left w:val="nil"/>
                <w:bottom w:val="nil"/>
                <w:right w:val="nil"/>
                <w:between w:val="nil"/>
              </w:pBdr>
              <w:suppressAutoHyphens/>
              <w:autoSpaceDN w:val="0"/>
              <w:ind w:right="57"/>
              <w:jc w:val="both"/>
              <w:rPr>
                <w:b/>
                <w:bCs/>
                <w:spacing w:val="-2"/>
                <w:sz w:val="22"/>
                <w:szCs w:val="22"/>
              </w:rPr>
            </w:pPr>
          </w:p>
        </w:tc>
      </w:tr>
      <w:tr w:rsidR="00511919" w:rsidRPr="001A44AD" w14:paraId="2A099B0C"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64910214" w14:textId="77777777" w:rsidR="00511919" w:rsidRPr="001A44AD" w:rsidRDefault="00511919" w:rsidP="00511919">
            <w:pPr>
              <w:suppressAutoHyphens/>
              <w:overflowPunct w:val="0"/>
              <w:autoSpaceDE w:val="0"/>
              <w:autoSpaceDN w:val="0"/>
              <w:adjustRightInd w:val="0"/>
              <w:jc w:val="center"/>
              <w:textAlignment w:val="baseline"/>
              <w:rPr>
                <w:sz w:val="22"/>
                <w:szCs w:val="22"/>
                <w:lang w:eastAsia="en-US"/>
              </w:rPr>
            </w:pPr>
            <w:r w:rsidRPr="001A44AD">
              <w:rPr>
                <w:b/>
                <w:sz w:val="22"/>
                <w:szCs w:val="22"/>
                <w:lang w:eastAsia="en-US"/>
              </w:rPr>
              <w:lastRenderedPageBreak/>
              <w:t>5 straipsnis. Subranga</w:t>
            </w:r>
          </w:p>
        </w:tc>
      </w:tr>
      <w:tr w:rsidR="00511919" w:rsidRPr="001A44AD" w14:paraId="042468A0"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D8DF6C5" w14:textId="77777777" w:rsidR="00511919" w:rsidRPr="001A44AD" w:rsidRDefault="00511919" w:rsidP="004D5857">
            <w:pPr>
              <w:autoSpaceDN w:val="0"/>
              <w:rPr>
                <w:b/>
                <w:sz w:val="22"/>
                <w:szCs w:val="22"/>
              </w:rPr>
            </w:pPr>
            <w:r w:rsidRPr="001A44AD">
              <w:rPr>
                <w:b/>
                <w:sz w:val="22"/>
                <w:szCs w:val="22"/>
              </w:rPr>
              <w:t>5.1.</w:t>
            </w:r>
          </w:p>
        </w:tc>
        <w:tc>
          <w:tcPr>
            <w:tcW w:w="8675" w:type="dxa"/>
            <w:tcBorders>
              <w:top w:val="single" w:sz="4" w:space="0" w:color="auto"/>
              <w:left w:val="single" w:sz="4" w:space="0" w:color="auto"/>
              <w:bottom w:val="single" w:sz="4" w:space="0" w:color="auto"/>
              <w:right w:val="single" w:sz="4" w:space="0" w:color="auto"/>
            </w:tcBorders>
          </w:tcPr>
          <w:p w14:paraId="5A40D47B" w14:textId="77777777" w:rsidR="00511919" w:rsidRPr="001A44AD" w:rsidRDefault="00511919" w:rsidP="004D5857">
            <w:pPr>
              <w:autoSpaceDN w:val="0"/>
              <w:jc w:val="both"/>
              <w:rPr>
                <w:b/>
                <w:sz w:val="22"/>
                <w:szCs w:val="22"/>
              </w:rPr>
            </w:pPr>
            <w:r w:rsidRPr="001A44AD">
              <w:rPr>
                <w:b/>
                <w:sz w:val="22"/>
                <w:szCs w:val="22"/>
              </w:rPr>
              <w:t>Subrangovai</w:t>
            </w:r>
          </w:p>
        </w:tc>
      </w:tr>
      <w:tr w:rsidR="00511919" w:rsidRPr="001A44AD" w14:paraId="22E4F35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03CE71DC" w14:textId="77777777" w:rsidR="00511919" w:rsidRPr="001A44AD" w:rsidRDefault="00511919"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21F2AD16" w14:textId="77777777" w:rsidR="00923E64" w:rsidRPr="001A44AD" w:rsidRDefault="00923E64" w:rsidP="00123705">
            <w:pPr>
              <w:autoSpaceDN w:val="0"/>
              <w:jc w:val="both"/>
              <w:rPr>
                <w:b/>
                <w:i/>
                <w:sz w:val="22"/>
                <w:szCs w:val="22"/>
              </w:rPr>
            </w:pPr>
          </w:p>
          <w:p w14:paraId="75E6E640" w14:textId="77777777" w:rsidR="00511919" w:rsidRPr="001A44AD" w:rsidRDefault="00511919" w:rsidP="00123705">
            <w:pPr>
              <w:autoSpaceDN w:val="0"/>
              <w:jc w:val="both"/>
              <w:rPr>
                <w:b/>
                <w:i/>
                <w:sz w:val="22"/>
                <w:szCs w:val="22"/>
              </w:rPr>
            </w:pPr>
            <w:r w:rsidRPr="001A44AD">
              <w:rPr>
                <w:b/>
                <w:i/>
                <w:sz w:val="22"/>
                <w:szCs w:val="22"/>
              </w:rPr>
              <w:t>Pakeisti 5.1. punktą ir išdėstyti jį taip:</w:t>
            </w:r>
          </w:p>
          <w:p w14:paraId="361C2D78" w14:textId="77777777" w:rsidR="0052531A" w:rsidRPr="001A44AD" w:rsidRDefault="0052531A" w:rsidP="00123705">
            <w:pPr>
              <w:autoSpaceDN w:val="0"/>
              <w:jc w:val="both"/>
              <w:rPr>
                <w:b/>
                <w:i/>
                <w:sz w:val="22"/>
                <w:szCs w:val="22"/>
              </w:rPr>
            </w:pPr>
          </w:p>
          <w:p w14:paraId="7209371F" w14:textId="77777777" w:rsidR="0052531A" w:rsidRPr="001A44AD" w:rsidRDefault="0052531A" w:rsidP="00123705">
            <w:pPr>
              <w:autoSpaceDN w:val="0"/>
              <w:jc w:val="both"/>
              <w:rPr>
                <w:sz w:val="22"/>
                <w:szCs w:val="22"/>
                <w:u w:val="single"/>
              </w:rPr>
            </w:pPr>
            <w:r w:rsidRPr="001A44AD">
              <w:rPr>
                <w:sz w:val="22"/>
                <w:szCs w:val="22"/>
                <w:u w:val="single"/>
              </w:rPr>
              <w:t>5.1.1. Subrangovų pasitelkimas ir keitimas</w:t>
            </w:r>
          </w:p>
          <w:p w14:paraId="66949AFE" w14:textId="77777777" w:rsidR="0052531A" w:rsidRPr="001A44AD" w:rsidRDefault="0052531A" w:rsidP="00123705">
            <w:pPr>
              <w:autoSpaceDN w:val="0"/>
              <w:jc w:val="both"/>
              <w:rPr>
                <w:sz w:val="22"/>
                <w:szCs w:val="22"/>
                <w:u w:val="single"/>
              </w:rPr>
            </w:pPr>
          </w:p>
          <w:p w14:paraId="6E0AF07E"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Rangovas turi teisę pasitelkti Subrangovus atlikti bet kurią Darbų dalį, išskyrus išimtis, nurodytas Užsakovo užduotyje ir (arba) kituose Pirkimo dokumentuose (jeigu nurodyta). </w:t>
            </w:r>
          </w:p>
          <w:p w14:paraId="34B8F308"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Rangovas įsipareigoja pranešti Užsakovui Sutarties sudarymo metu žinomų Subrangovų vardus ir pavardes arba pavadinimus, juridinių asmenų kodus, kontaktinius duomenis ir jų atstovus, taip pat kiekvienam Subrangovui perduodamų atlikti Darbų tikslų aprašymą, nurodydamas šiuos duomenis Subrangovų sąraše, kurį Rangovas privalo parengti pagal priede Nr. 1 pateiktą formą ir pateikti Užsakovui nedelsiant, bet ne vėliau nei per 10 darbo dienų, po Sutarties įsigaliojimo. Toks Subrangovų sąrašas įsigalioja jo pateikimo Užsakovui dieną. Tik </w:t>
            </w:r>
            <w:r w:rsidRPr="001A44AD">
              <w:rPr>
                <w:rFonts w:eastAsia="Arial"/>
                <w:sz w:val="22"/>
                <w:szCs w:val="22"/>
                <w:lang w:eastAsia="en-US"/>
              </w:rPr>
              <w:lastRenderedPageBreak/>
              <w:t xml:space="preserve">galiojančiame Subrangovų sąraše įrašyti Subrangovai gali būti Subrangovais pagal Sutartį ir tik tokių Subrangovų darbuotojai yra priskiriami Rangovo personalui pagal Sutartį bei gali patekti į statybvietę. </w:t>
            </w:r>
          </w:p>
          <w:p w14:paraId="36504B0E"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1" w:name="_z337ya" w:colFirst="0" w:colLast="0"/>
            <w:bookmarkStart w:id="42" w:name="_3j2qqm3" w:colFirst="0" w:colLast="0"/>
            <w:bookmarkStart w:id="43" w:name="_1y810tw" w:colFirst="0" w:colLast="0"/>
            <w:bookmarkStart w:id="44" w:name="_Ref88645491"/>
            <w:bookmarkEnd w:id="41"/>
            <w:bookmarkEnd w:id="42"/>
            <w:bookmarkEnd w:id="43"/>
            <w:r w:rsidRPr="001A44AD">
              <w:rPr>
                <w:rFonts w:eastAsia="Arial"/>
                <w:sz w:val="22"/>
                <w:szCs w:val="22"/>
                <w:lang w:eastAsia="en-US"/>
              </w:rPr>
              <w:t>Tuo atveju, kai Įstatymai nedraudžia asmeniui tapti Subrangovu Sutarties vykdymo tikslais, Rangovas turi teisę savo nuožiūra įtraukti tokį savo ar Subrangovo pasirinktą Subrangovą į Subrangovų sąrašą. Rangovas turi teisę pakeisti tokį Subrangovą kitu Subrangovu bet kuriuo metu ir nepriklausomai nuo to, kokios aplinkybės nulėmė būtinybę pakeisti tokį Subrangovą, išskyrus atvejus, kai keičiamas Subjektas, kurio pajėgumais remiasi Rangovas.</w:t>
            </w:r>
            <w:bookmarkEnd w:id="44"/>
            <w:r w:rsidRPr="001A44AD">
              <w:rPr>
                <w:rFonts w:eastAsia="Arial"/>
                <w:sz w:val="22"/>
                <w:szCs w:val="22"/>
                <w:lang w:eastAsia="en-US"/>
              </w:rPr>
              <w:t xml:space="preserve"> </w:t>
            </w:r>
          </w:p>
          <w:p w14:paraId="415C2710"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5" w:name="_Ref89156784"/>
            <w:r w:rsidRPr="001A44AD">
              <w:rPr>
                <w:rFonts w:eastAsia="Arial"/>
                <w:sz w:val="22"/>
                <w:szCs w:val="22"/>
                <w:lang w:eastAsia="en-US"/>
              </w:rPr>
              <w:t>Rangovas privalo nedelsdamas informuoti Užsakovą ir Inžinierių apie Subrangovų sąrašo pakeitimus visu Sutarties vykdymo metu, kaskart pateikdamas atnaujintą Subrangovų sąrašą su paryškintais pakeitimais.</w:t>
            </w:r>
            <w:bookmarkEnd w:id="45"/>
            <w:r w:rsidRPr="001A44AD">
              <w:rPr>
                <w:rFonts w:eastAsia="Arial"/>
                <w:sz w:val="22"/>
                <w:szCs w:val="22"/>
                <w:lang w:eastAsia="en-US"/>
              </w:rPr>
              <w:t xml:space="preserve"> Subrangovų sąrašo pakeitimai nelaikomi Sutarties pakeitimu, išskyrus atvejus, kai keičiamas Subjektas, kurio pajėgumais remiasi Rangovas.</w:t>
            </w:r>
          </w:p>
          <w:p w14:paraId="07535587"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Pagal Sutarties reikalavimus pakeistas Subrangovų sąrašas įsigalioja tą dieną, kai </w:t>
            </w:r>
            <w:r w:rsidR="0052531A" w:rsidRPr="001A44AD">
              <w:rPr>
                <w:rFonts w:eastAsia="Arial"/>
                <w:sz w:val="22"/>
                <w:szCs w:val="22"/>
                <w:lang w:eastAsia="en-US"/>
              </w:rPr>
              <w:t>Rangovas gauna raštišką</w:t>
            </w:r>
            <w:r w:rsidRPr="001A44AD">
              <w:rPr>
                <w:rFonts w:eastAsia="Arial"/>
                <w:sz w:val="22"/>
                <w:szCs w:val="22"/>
                <w:lang w:eastAsia="en-US"/>
              </w:rPr>
              <w:t xml:space="preserve"> Užsakov</w:t>
            </w:r>
            <w:r w:rsidR="0052531A" w:rsidRPr="001A44AD">
              <w:rPr>
                <w:rFonts w:eastAsia="Arial"/>
                <w:sz w:val="22"/>
                <w:szCs w:val="22"/>
                <w:lang w:eastAsia="en-US"/>
              </w:rPr>
              <w:t xml:space="preserve">o sutikimą. </w:t>
            </w:r>
          </w:p>
          <w:p w14:paraId="2304BED0"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6" w:name="_4i7ojhp" w:colFirst="0" w:colLast="0"/>
            <w:bookmarkStart w:id="47" w:name="_Ref88645605"/>
            <w:bookmarkStart w:id="48" w:name="_Ref90573935"/>
            <w:bookmarkEnd w:id="46"/>
            <w:r w:rsidRPr="001A44AD">
              <w:rPr>
                <w:rFonts w:eastAsia="Arial"/>
                <w:sz w:val="22"/>
                <w:szCs w:val="22"/>
                <w:lang w:eastAsia="en-US"/>
              </w:rPr>
              <w:t>Rangovas privalo užtikrinti, kad Subrangovai, įtraukti į Subrangovų sąrašą, patys vykdytų jiems priskirtą Darbų dalį, nurodytą Subrangovų sąraše.</w:t>
            </w:r>
            <w:bookmarkEnd w:id="47"/>
          </w:p>
          <w:p w14:paraId="0818EFD5"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Jeigu paaiškėja, kad vykdant Sutartį dalyvauja Subrangovas,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 1 darbo dieną, nušalinti tokį Subrangovą nuo Sutarties vykdymo ir pašalinti iš statybvietės</w:t>
            </w:r>
            <w:r w:rsidR="0052531A" w:rsidRPr="001A44AD">
              <w:rPr>
                <w:rFonts w:eastAsia="Arial"/>
                <w:sz w:val="22"/>
                <w:szCs w:val="22"/>
                <w:lang w:eastAsia="en-US"/>
              </w:rPr>
              <w:t>.</w:t>
            </w:r>
            <w:r w:rsidRPr="001A44AD">
              <w:rPr>
                <w:rFonts w:eastAsia="Arial"/>
                <w:sz w:val="22"/>
                <w:szCs w:val="22"/>
                <w:lang w:eastAsia="en-US"/>
              </w:rPr>
              <w:t xml:space="preserve"> Jeigu Rangovas pažeidžia šį punktą daugiau nei tris kartus, tai laikoma esminiu Sutarties pažeidimu, dėl kurio Užsakovas įgyja teisę vienašališkai nutraukti Sutartį</w:t>
            </w:r>
            <w:bookmarkEnd w:id="48"/>
            <w:r w:rsidR="008D2957" w:rsidRPr="001A44AD">
              <w:rPr>
                <w:rFonts w:eastAsia="Arial"/>
                <w:sz w:val="22"/>
                <w:szCs w:val="22"/>
                <w:lang w:eastAsia="en-US"/>
              </w:rPr>
              <w:t>.</w:t>
            </w:r>
          </w:p>
          <w:p w14:paraId="3FB56FAF" w14:textId="77777777" w:rsidR="0052531A" w:rsidRPr="001A44AD" w:rsidRDefault="0052531A"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p>
          <w:p w14:paraId="2E8A53FB" w14:textId="77777777" w:rsidR="00511919" w:rsidRPr="001A44AD" w:rsidRDefault="0052531A"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u w:val="single"/>
                <w:lang w:eastAsia="en-US"/>
              </w:rPr>
            </w:pPr>
            <w:r w:rsidRPr="001A44AD">
              <w:rPr>
                <w:rFonts w:eastAsia="Arial"/>
                <w:sz w:val="22"/>
                <w:szCs w:val="22"/>
                <w:u w:val="single"/>
                <w:lang w:eastAsia="en-US"/>
              </w:rPr>
              <w:t>5.1.2. Rangovo, jungtinės veiklos partnerio ir subjekto, kurio pajėgumais remiasi Rangovas, pakeitimas</w:t>
            </w:r>
          </w:p>
          <w:p w14:paraId="0BC4A1FF" w14:textId="77777777" w:rsidR="0052531A" w:rsidRPr="001A44AD" w:rsidRDefault="0052531A" w:rsidP="00123705">
            <w:pPr>
              <w:widowControl w:val="0"/>
              <w:numPr>
                <w:ilvl w:val="2"/>
                <w:numId w:val="21"/>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Jeigu jungtinės veiklos partneris ar Subjektas, kurio pajėgumais remiasi Rangovas, nepateikia pagrįstų įrodymų, kad sugebės tinkamai įvykdyti jam tenkančią Sutarties dalį, Rangovas turi teisę pakeisti jungtinės veiklos partnerį ar Subjektą, kurio pajėgumas remiasi, kitu asmeniu kiekvienu atveju, kai jungtinės veiklos partnerio ar Subjekto, kurio pajėgumais remiasi Rangovas, atžvilgiu egzistuoja kuri nors žemiau išvardinta aplinkybė: </w:t>
            </w:r>
          </w:p>
          <w:p w14:paraId="11877700"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jam yra iškelta restruktūrizavimo ar bankroto byla;</w:t>
            </w:r>
          </w:p>
          <w:p w14:paraId="14ECF9CB"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jam yra inicijuotos ar pradėtos likvidavimo procedūros;</w:t>
            </w:r>
          </w:p>
          <w:p w14:paraId="62379C76"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jo turtą valdo teismas ar bankroto administratorius;</w:t>
            </w:r>
          </w:p>
          <w:p w14:paraId="0A7A5228"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jo veikla yra sustabdyta ar apribota arba jo padėtis pagal šalies, kurioje jis registruotas, teisės aktus yra tokia pati ar panaši;</w:t>
            </w:r>
          </w:p>
          <w:p w14:paraId="11AE829B"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jis su kreditoriais yra sudaręs taikos sutartį (jungtinės veiklos partnerio ar Subjekto, kurio pajėgumais remiasi Rangovas, ir kreditorių susitarimą tęsti tiekėjo veiklą, kai jungtinės veiklos partneris ar Subjektas, kurio pajėgumais remiasi Rangovas, prisiima tam tikrus įsipareigojimus, o kreditoriai sutinka savo reikalavimus atidėti, sumažinti ar jų atsisakyti).</w:t>
            </w:r>
          </w:p>
          <w:p w14:paraId="6ED51F04" w14:textId="77777777" w:rsidR="00511919" w:rsidRPr="001A44AD" w:rsidRDefault="0052531A" w:rsidP="00123705">
            <w:pPr>
              <w:widowControl w:val="0"/>
              <w:numPr>
                <w:ilvl w:val="2"/>
                <w:numId w:val="21"/>
              </w:numPr>
              <w:pBdr>
                <w:top w:val="nil"/>
                <w:left w:val="nil"/>
                <w:bottom w:val="nil"/>
                <w:right w:val="nil"/>
                <w:between w:val="nil"/>
              </w:pBdr>
              <w:tabs>
                <w:tab w:val="left" w:pos="567"/>
                <w:tab w:val="left" w:pos="851"/>
                <w:tab w:val="left" w:pos="992"/>
                <w:tab w:val="left" w:pos="1134"/>
              </w:tabs>
              <w:spacing w:before="96" w:after="96"/>
              <w:jc w:val="both"/>
              <w:rPr>
                <w:b/>
                <w:i/>
                <w:sz w:val="22"/>
                <w:szCs w:val="22"/>
              </w:rPr>
            </w:pPr>
            <w:bookmarkStart w:id="49" w:name="_Ref89049777"/>
            <w:r w:rsidRPr="001A44AD">
              <w:rPr>
                <w:rFonts w:eastAsia="Arial"/>
                <w:sz w:val="22"/>
                <w:szCs w:val="22"/>
                <w:lang w:eastAsia="en-US"/>
              </w:rPr>
              <w:t>Jeigu jungtinės veiklos partneris ar Subjektas, kurio pajėgumais remiasi Rangovas, yra keičiamas egzistuojant šioje Sutartyje ar Pirkimo dokumentuose nustatytoms būtinosioms sąlygoms, Rangovas turi teisę pakeisti jungtinės veiklos partnerį ar Subjektą, kurio pajėgumais remiasi Rangovas, kitu asmeniu, kuris atitinka visus jam pagal Pirkimo dokumentus taikomus reikalavimus, jeigu Užsakovas su tuo sutinka. Tuo tikslu Šalys privalo sudaryti Susitarimą 13 straipsnyje „Pakeitimai ir korekcijos“ nustatyta tvarka. Toks asmens pakeitimas negali lemti kitų esminių Sutarties pakeitimų ir taip negali būti siekiama išvengti VPĮ arba PĮ taikymo.</w:t>
            </w:r>
            <w:bookmarkEnd w:id="49"/>
          </w:p>
          <w:p w14:paraId="0113CAD4"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rPr>
            </w:pPr>
          </w:p>
          <w:p w14:paraId="6F58C98E"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u w:val="single"/>
              </w:rPr>
            </w:pPr>
            <w:r w:rsidRPr="001A44AD">
              <w:rPr>
                <w:sz w:val="22"/>
                <w:szCs w:val="22"/>
                <w:u w:val="single"/>
              </w:rPr>
              <w:t>5.1.3. Susitarimai dėl tiesioginio atsiskaitymo su Subrangovais</w:t>
            </w:r>
          </w:p>
          <w:p w14:paraId="3C3942AD" w14:textId="77777777" w:rsidR="005454D5" w:rsidRPr="001A44AD" w:rsidRDefault="005454D5" w:rsidP="00123705">
            <w:pPr>
              <w:tabs>
                <w:tab w:val="left" w:pos="600"/>
              </w:tabs>
              <w:ind w:left="33"/>
              <w:jc w:val="both"/>
              <w:rPr>
                <w:rFonts w:eastAsia="Calibri"/>
                <w:sz w:val="22"/>
                <w:szCs w:val="22"/>
                <w:lang w:eastAsia="en-US"/>
              </w:rPr>
            </w:pPr>
            <w:r w:rsidRPr="001A44AD">
              <w:rPr>
                <w:rFonts w:eastAsia="Calibri"/>
                <w:sz w:val="22"/>
                <w:szCs w:val="22"/>
                <w:lang w:eastAsia="en-US"/>
              </w:rPr>
              <w:t xml:space="preserve">Subrangovai turi teisę pasinaudoti tiesioginio atsiskaitymo galimybe, raštu pateikdami prašymą Užsakovui. </w:t>
            </w:r>
          </w:p>
          <w:p w14:paraId="7BBFB00D" w14:textId="77777777" w:rsidR="005454D5" w:rsidRPr="001A44AD" w:rsidRDefault="005454D5" w:rsidP="00123705">
            <w:pPr>
              <w:tabs>
                <w:tab w:val="left" w:pos="600"/>
              </w:tabs>
              <w:ind w:left="33"/>
              <w:jc w:val="both"/>
              <w:rPr>
                <w:rFonts w:eastAsia="Calibri"/>
                <w:sz w:val="22"/>
                <w:szCs w:val="22"/>
                <w:lang w:eastAsia="en-US"/>
              </w:rPr>
            </w:pPr>
            <w:r w:rsidRPr="001A44AD">
              <w:rPr>
                <w:rFonts w:eastAsia="Calibri"/>
                <w:sz w:val="22"/>
                <w:szCs w:val="22"/>
                <w:lang w:eastAsia="en-US"/>
              </w:rPr>
              <w:lastRenderedPageBreak/>
              <w:t xml:space="preserve">Tuo atveju, kai Subrangovas išreiškia norą pasinaudoti tiesioginio atsiskaitymo galimybe, Užsakovas ir Rangovas privalo sudaryti su Subrangovu trišalį susitarimą. Susitarimo forma derinama tarp Šalių. </w:t>
            </w:r>
          </w:p>
          <w:p w14:paraId="03D1CE53"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rPr>
            </w:pPr>
          </w:p>
        </w:tc>
      </w:tr>
      <w:tr w:rsidR="00165BC5" w:rsidRPr="001A44AD" w14:paraId="7CECAA77"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4457F206" w14:textId="77777777" w:rsidR="00165BC5" w:rsidRPr="001A44AD" w:rsidRDefault="00165BC5" w:rsidP="00123705">
            <w:pPr>
              <w:suppressAutoHyphens/>
              <w:overflowPunct w:val="0"/>
              <w:autoSpaceDE w:val="0"/>
              <w:autoSpaceDN w:val="0"/>
              <w:adjustRightInd w:val="0"/>
              <w:jc w:val="center"/>
              <w:textAlignment w:val="baseline"/>
              <w:rPr>
                <w:sz w:val="22"/>
                <w:szCs w:val="22"/>
                <w:lang w:eastAsia="en-US"/>
              </w:rPr>
            </w:pPr>
            <w:bookmarkStart w:id="50" w:name="_Toc128826832"/>
            <w:bookmarkStart w:id="51" w:name="_Toc140564100"/>
            <w:bookmarkStart w:id="52" w:name="_Toc143077375"/>
            <w:bookmarkStart w:id="53" w:name="_Toc143518397"/>
            <w:bookmarkStart w:id="54" w:name="_Toc143677753"/>
            <w:bookmarkStart w:id="55" w:name="_Toc217377180"/>
            <w:r w:rsidRPr="001A44AD">
              <w:rPr>
                <w:b/>
                <w:sz w:val="22"/>
                <w:szCs w:val="22"/>
                <w:lang w:eastAsia="en-US"/>
              </w:rPr>
              <w:lastRenderedPageBreak/>
              <w:t>8 straipsnis. Pradžia, uždelsimai ir sustabdymas</w:t>
            </w:r>
            <w:bookmarkEnd w:id="50"/>
            <w:bookmarkEnd w:id="51"/>
            <w:bookmarkEnd w:id="52"/>
            <w:bookmarkEnd w:id="53"/>
            <w:bookmarkEnd w:id="54"/>
            <w:bookmarkEnd w:id="55"/>
          </w:p>
        </w:tc>
      </w:tr>
      <w:tr w:rsidR="00165BC5" w:rsidRPr="001A44AD" w14:paraId="1D8956EB"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1E5492B7" w14:textId="77777777" w:rsidR="00165BC5" w:rsidRPr="001A44AD" w:rsidRDefault="00165BC5" w:rsidP="004D5857">
            <w:pPr>
              <w:autoSpaceDN w:val="0"/>
              <w:rPr>
                <w:b/>
                <w:sz w:val="22"/>
                <w:szCs w:val="22"/>
              </w:rPr>
            </w:pPr>
            <w:r w:rsidRPr="001A44AD">
              <w:rPr>
                <w:b/>
                <w:sz w:val="22"/>
                <w:szCs w:val="22"/>
              </w:rPr>
              <w:t>8.1 punktas</w:t>
            </w:r>
          </w:p>
        </w:tc>
        <w:tc>
          <w:tcPr>
            <w:tcW w:w="8675" w:type="dxa"/>
            <w:tcBorders>
              <w:top w:val="single" w:sz="4" w:space="0" w:color="auto"/>
              <w:left w:val="single" w:sz="4" w:space="0" w:color="auto"/>
              <w:bottom w:val="single" w:sz="4" w:space="0" w:color="auto"/>
              <w:right w:val="single" w:sz="4" w:space="0" w:color="auto"/>
            </w:tcBorders>
            <w:hideMark/>
          </w:tcPr>
          <w:p w14:paraId="2D8D3725" w14:textId="77777777" w:rsidR="00165BC5" w:rsidRPr="001A44AD" w:rsidRDefault="00165BC5" w:rsidP="00123705">
            <w:pPr>
              <w:autoSpaceDN w:val="0"/>
              <w:jc w:val="both"/>
              <w:rPr>
                <w:b/>
                <w:sz w:val="22"/>
                <w:szCs w:val="22"/>
              </w:rPr>
            </w:pPr>
            <w:bookmarkStart w:id="56" w:name="Darbo_pradzia"/>
            <w:r w:rsidRPr="001A44AD">
              <w:rPr>
                <w:b/>
                <w:spacing w:val="-2"/>
                <w:sz w:val="22"/>
                <w:szCs w:val="22"/>
              </w:rPr>
              <w:t>Darbo pradžia</w:t>
            </w:r>
            <w:bookmarkEnd w:id="56"/>
          </w:p>
        </w:tc>
      </w:tr>
      <w:tr w:rsidR="00165BC5" w:rsidRPr="001A44AD" w14:paraId="3043DBED"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38D82BFF"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81C9912" w14:textId="77777777" w:rsidR="00566A97" w:rsidRPr="001A44AD" w:rsidRDefault="00566A97" w:rsidP="00123705">
            <w:pPr>
              <w:rPr>
                <w:rFonts w:eastAsia="Calibri"/>
                <w:b/>
                <w:i/>
                <w:color w:val="000000"/>
                <w:sz w:val="22"/>
                <w:szCs w:val="22"/>
                <w:lang w:eastAsia="en-US"/>
              </w:rPr>
            </w:pPr>
          </w:p>
          <w:p w14:paraId="5C2933A9" w14:textId="77777777" w:rsidR="00165BC5" w:rsidRPr="001A44AD" w:rsidRDefault="00165BC5" w:rsidP="00123705">
            <w:pPr>
              <w:rPr>
                <w:rFonts w:eastAsia="Calibri"/>
                <w:b/>
                <w:i/>
                <w:color w:val="000000"/>
                <w:sz w:val="22"/>
                <w:szCs w:val="22"/>
                <w:lang w:eastAsia="en-US"/>
              </w:rPr>
            </w:pPr>
            <w:r w:rsidRPr="001A44AD">
              <w:rPr>
                <w:rFonts w:eastAsia="Calibri"/>
                <w:b/>
                <w:i/>
                <w:color w:val="000000"/>
                <w:sz w:val="22"/>
                <w:szCs w:val="22"/>
                <w:lang w:eastAsia="en-US"/>
              </w:rPr>
              <w:t xml:space="preserve">Pakeisti 8.1 punkto </w:t>
            </w:r>
            <w:r w:rsidR="00E67411" w:rsidRPr="001A44AD">
              <w:rPr>
                <w:rFonts w:eastAsia="Calibri"/>
                <w:b/>
                <w:i/>
                <w:color w:val="000000"/>
                <w:sz w:val="22"/>
                <w:szCs w:val="22"/>
                <w:lang w:eastAsia="en-US"/>
              </w:rPr>
              <w:t xml:space="preserve">pirmą </w:t>
            </w:r>
            <w:r w:rsidRPr="001A44AD">
              <w:rPr>
                <w:rFonts w:eastAsia="Calibri"/>
                <w:b/>
                <w:i/>
                <w:color w:val="000000"/>
                <w:sz w:val="22"/>
                <w:szCs w:val="22"/>
                <w:lang w:eastAsia="en-US"/>
              </w:rPr>
              <w:t>pastraipą ir ją išdėstyti taip:</w:t>
            </w:r>
          </w:p>
          <w:p w14:paraId="33AFB85B" w14:textId="77777777" w:rsidR="00E67411" w:rsidRPr="001A44AD" w:rsidRDefault="00E67411" w:rsidP="00123705">
            <w:pPr>
              <w:rPr>
                <w:rFonts w:eastAsia="Calibri"/>
                <w:b/>
                <w:i/>
                <w:color w:val="000000"/>
                <w:sz w:val="22"/>
                <w:szCs w:val="22"/>
                <w:lang w:eastAsia="en-US"/>
              </w:rPr>
            </w:pPr>
          </w:p>
          <w:p w14:paraId="77404C5A" w14:textId="77777777" w:rsidR="00165BC5" w:rsidRPr="001A44AD" w:rsidRDefault="00E67411" w:rsidP="00123705">
            <w:pPr>
              <w:tabs>
                <w:tab w:val="left" w:pos="336"/>
              </w:tabs>
              <w:autoSpaceDE w:val="0"/>
              <w:autoSpaceDN w:val="0"/>
              <w:adjustRightInd w:val="0"/>
              <w:jc w:val="both"/>
              <w:rPr>
                <w:color w:val="000000"/>
                <w:sz w:val="22"/>
                <w:szCs w:val="22"/>
                <w:lang w:eastAsia="en-US"/>
              </w:rPr>
            </w:pPr>
            <w:r w:rsidRPr="001A44AD">
              <w:rPr>
                <w:color w:val="000000"/>
                <w:sz w:val="22"/>
                <w:szCs w:val="22"/>
                <w:lang w:eastAsia="en-US"/>
              </w:rPr>
              <w:t xml:space="preserve">Inžinierius, likus ne mažiau nei 14 dienų iki Darbų pradžios dienos, privalo informuoti Rangovą Pranešimu, kuriame nurodo Darbų pradžios datą. </w:t>
            </w:r>
            <w:r w:rsidR="00395336" w:rsidRPr="001A44AD">
              <w:rPr>
                <w:color w:val="000000"/>
                <w:sz w:val="22"/>
                <w:szCs w:val="22"/>
                <w:lang w:eastAsia="en-US"/>
              </w:rPr>
              <w:t>Darbų pradžios data turi nustatyta per 28 dienas po to, kai sudaroma Sutartis.</w:t>
            </w:r>
          </w:p>
          <w:p w14:paraId="78BE1BF7" w14:textId="77777777" w:rsidR="00E67411" w:rsidRPr="001A44AD" w:rsidRDefault="00E67411" w:rsidP="00123705">
            <w:pPr>
              <w:tabs>
                <w:tab w:val="left" w:pos="336"/>
              </w:tabs>
              <w:autoSpaceDE w:val="0"/>
              <w:autoSpaceDN w:val="0"/>
              <w:adjustRightInd w:val="0"/>
              <w:jc w:val="both"/>
              <w:rPr>
                <w:color w:val="000000"/>
                <w:spacing w:val="-2"/>
                <w:sz w:val="22"/>
                <w:szCs w:val="22"/>
              </w:rPr>
            </w:pPr>
          </w:p>
        </w:tc>
      </w:tr>
      <w:tr w:rsidR="00566A97" w:rsidRPr="001A44AD" w14:paraId="4D54147E"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3658DD0E" w14:textId="77777777" w:rsidR="00566A97" w:rsidRPr="001A44AD" w:rsidRDefault="00566A97" w:rsidP="004D5857">
            <w:pPr>
              <w:autoSpaceDN w:val="0"/>
              <w:rPr>
                <w:b/>
                <w:sz w:val="22"/>
                <w:szCs w:val="22"/>
              </w:rPr>
            </w:pPr>
            <w:r w:rsidRPr="001A44AD">
              <w:rPr>
                <w:b/>
                <w:sz w:val="22"/>
                <w:szCs w:val="22"/>
              </w:rPr>
              <w:t>8.2. punktas</w:t>
            </w:r>
          </w:p>
        </w:tc>
        <w:tc>
          <w:tcPr>
            <w:tcW w:w="8675" w:type="dxa"/>
            <w:tcBorders>
              <w:top w:val="single" w:sz="4" w:space="0" w:color="auto"/>
              <w:left w:val="single" w:sz="4" w:space="0" w:color="auto"/>
              <w:bottom w:val="single" w:sz="4" w:space="0" w:color="auto"/>
              <w:right w:val="single" w:sz="4" w:space="0" w:color="auto"/>
            </w:tcBorders>
          </w:tcPr>
          <w:p w14:paraId="0A252048" w14:textId="77777777" w:rsidR="00566A97" w:rsidRPr="001A44AD" w:rsidRDefault="00566A97" w:rsidP="00123705">
            <w:pPr>
              <w:rPr>
                <w:rFonts w:eastAsia="Calibri"/>
                <w:b/>
                <w:color w:val="000000"/>
                <w:sz w:val="22"/>
                <w:szCs w:val="22"/>
                <w:lang w:eastAsia="en-US"/>
              </w:rPr>
            </w:pPr>
            <w:r w:rsidRPr="001A44AD">
              <w:rPr>
                <w:rFonts w:eastAsia="Calibri"/>
                <w:b/>
                <w:color w:val="000000"/>
                <w:sz w:val="22"/>
                <w:szCs w:val="22"/>
                <w:lang w:eastAsia="en-US"/>
              </w:rPr>
              <w:t>Užbaigimo terminas</w:t>
            </w:r>
          </w:p>
        </w:tc>
      </w:tr>
      <w:tr w:rsidR="00566A97" w:rsidRPr="001A44AD" w14:paraId="27F5A98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2DA2F14D" w14:textId="77777777" w:rsidR="00566A97" w:rsidRPr="001A44AD" w:rsidRDefault="00566A97"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F0FF468" w14:textId="77777777" w:rsidR="00566A97" w:rsidRPr="000A2204" w:rsidRDefault="00566A97" w:rsidP="00123705">
            <w:pPr>
              <w:rPr>
                <w:rFonts w:eastAsia="Calibri"/>
                <w:b/>
                <w:i/>
                <w:color w:val="000000"/>
                <w:sz w:val="22"/>
                <w:szCs w:val="22"/>
                <w:lang w:eastAsia="en-US"/>
              </w:rPr>
            </w:pPr>
          </w:p>
          <w:p w14:paraId="02202708" w14:textId="77777777" w:rsidR="00566A97" w:rsidRPr="000A2204" w:rsidRDefault="00566A97" w:rsidP="00123705">
            <w:pPr>
              <w:rPr>
                <w:rFonts w:eastAsia="Calibri"/>
                <w:b/>
                <w:i/>
                <w:color w:val="000000"/>
                <w:sz w:val="22"/>
                <w:szCs w:val="22"/>
                <w:lang w:eastAsia="en-US"/>
              </w:rPr>
            </w:pPr>
            <w:r w:rsidRPr="000A2204">
              <w:rPr>
                <w:rFonts w:eastAsia="Calibri"/>
                <w:b/>
                <w:i/>
                <w:color w:val="000000"/>
                <w:sz w:val="22"/>
                <w:szCs w:val="22"/>
                <w:lang w:eastAsia="en-US"/>
              </w:rPr>
              <w:t>Papildyti 8.2 punktą antra pastraipa ir ją išdėstyti taip:</w:t>
            </w:r>
          </w:p>
          <w:p w14:paraId="26860AF1" w14:textId="77777777" w:rsidR="00566A97" w:rsidRPr="000A2204" w:rsidRDefault="00566A97" w:rsidP="00123705">
            <w:pPr>
              <w:rPr>
                <w:rFonts w:eastAsia="Calibri"/>
                <w:b/>
                <w:i/>
                <w:color w:val="000000"/>
                <w:sz w:val="22"/>
                <w:szCs w:val="22"/>
                <w:lang w:eastAsia="en-US"/>
              </w:rPr>
            </w:pPr>
          </w:p>
          <w:p w14:paraId="66641139" w14:textId="10EA8E27" w:rsidR="00566A97" w:rsidRPr="000A2204" w:rsidRDefault="00566A97" w:rsidP="00F93119">
            <w:pPr>
              <w:jc w:val="both"/>
              <w:rPr>
                <w:rFonts w:eastAsia="Calibri"/>
                <w:b/>
                <w:color w:val="000000"/>
                <w:sz w:val="22"/>
                <w:szCs w:val="22"/>
                <w:lang w:eastAsia="en-US"/>
              </w:rPr>
            </w:pPr>
            <w:r w:rsidRPr="006F7739">
              <w:rPr>
                <w:rFonts w:eastAsia="Calibri"/>
                <w:color w:val="000000"/>
                <w:sz w:val="22"/>
                <w:szCs w:val="22"/>
                <w:lang w:eastAsia="en-US"/>
              </w:rPr>
              <w:t xml:space="preserve">Darbai privalo būti tinkamai užbaigti per </w:t>
            </w:r>
            <w:r w:rsidR="006F7739" w:rsidRPr="006F7739">
              <w:rPr>
                <w:rFonts w:eastAsia="Calibri"/>
                <w:color w:val="000000"/>
                <w:sz w:val="22"/>
                <w:szCs w:val="22"/>
                <w:lang w:eastAsia="en-US"/>
              </w:rPr>
              <w:t>konkrečiųjų sąlygų A dalyje nurodytą terminą.</w:t>
            </w:r>
          </w:p>
        </w:tc>
      </w:tr>
      <w:tr w:rsidR="007B59DF" w:rsidRPr="001A44AD" w14:paraId="1D76B439"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6755026" w14:textId="77777777" w:rsidR="007B59DF" w:rsidRPr="001A44AD" w:rsidRDefault="007B59DF" w:rsidP="007B59DF">
            <w:pPr>
              <w:autoSpaceDN w:val="0"/>
              <w:rPr>
                <w:b/>
                <w:sz w:val="22"/>
                <w:szCs w:val="22"/>
              </w:rPr>
            </w:pPr>
            <w:r w:rsidRPr="001A44AD">
              <w:rPr>
                <w:b/>
                <w:sz w:val="22"/>
                <w:szCs w:val="22"/>
              </w:rPr>
              <w:t>8.5. punktas</w:t>
            </w:r>
          </w:p>
        </w:tc>
        <w:tc>
          <w:tcPr>
            <w:tcW w:w="8675" w:type="dxa"/>
            <w:tcBorders>
              <w:top w:val="single" w:sz="4" w:space="0" w:color="auto"/>
              <w:left w:val="single" w:sz="4" w:space="0" w:color="auto"/>
              <w:bottom w:val="single" w:sz="4" w:space="0" w:color="auto"/>
              <w:right w:val="single" w:sz="4" w:space="0" w:color="auto"/>
            </w:tcBorders>
          </w:tcPr>
          <w:p w14:paraId="2D908CCF" w14:textId="77777777" w:rsidR="007B59DF" w:rsidRPr="001A44AD" w:rsidRDefault="007B59DF" w:rsidP="00123705">
            <w:pPr>
              <w:rPr>
                <w:rFonts w:eastAsia="Calibri"/>
                <w:b/>
                <w:i/>
                <w:color w:val="000000"/>
                <w:sz w:val="22"/>
                <w:szCs w:val="22"/>
                <w:lang w:eastAsia="en-US"/>
              </w:rPr>
            </w:pPr>
            <w:r w:rsidRPr="001A44AD">
              <w:rPr>
                <w:rFonts w:eastAsia="Calibri"/>
                <w:b/>
                <w:color w:val="000000"/>
                <w:sz w:val="22"/>
                <w:szCs w:val="22"/>
                <w:lang w:eastAsia="en-US"/>
              </w:rPr>
              <w:t>Užbaigimo termino pratęsimas</w:t>
            </w:r>
          </w:p>
        </w:tc>
      </w:tr>
      <w:tr w:rsidR="007B59DF" w:rsidRPr="001A44AD" w14:paraId="360E15D1"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6DECAC12"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2B9225AD" w14:textId="77777777" w:rsidR="007B59DF" w:rsidRPr="001A44AD" w:rsidRDefault="007B59DF" w:rsidP="00123705">
            <w:pPr>
              <w:rPr>
                <w:rFonts w:eastAsia="Calibri"/>
                <w:b/>
                <w:i/>
                <w:color w:val="000000"/>
                <w:sz w:val="22"/>
                <w:szCs w:val="22"/>
                <w:lang w:eastAsia="en-US"/>
              </w:rPr>
            </w:pPr>
          </w:p>
          <w:p w14:paraId="20BC307F" w14:textId="77777777" w:rsidR="007B59DF" w:rsidRPr="001A44AD" w:rsidRDefault="007B59DF" w:rsidP="00123705">
            <w:pPr>
              <w:rPr>
                <w:rFonts w:eastAsia="Calibri"/>
                <w:b/>
                <w:i/>
                <w:color w:val="000000"/>
                <w:sz w:val="22"/>
                <w:szCs w:val="22"/>
                <w:lang w:eastAsia="en-US"/>
              </w:rPr>
            </w:pPr>
            <w:r w:rsidRPr="001A44AD">
              <w:rPr>
                <w:rFonts w:eastAsia="Calibri"/>
                <w:b/>
                <w:i/>
                <w:color w:val="000000"/>
                <w:sz w:val="22"/>
                <w:szCs w:val="22"/>
                <w:lang w:eastAsia="en-US"/>
              </w:rPr>
              <w:t>Pakeisti 8.5 punktą ir jį išdėstyti taip:</w:t>
            </w:r>
          </w:p>
          <w:p w14:paraId="6E9D3906" w14:textId="77777777" w:rsidR="007B59DF" w:rsidRPr="001A44AD" w:rsidRDefault="007B59DF" w:rsidP="00123705">
            <w:pPr>
              <w:rPr>
                <w:rFonts w:eastAsia="Calibri"/>
                <w:b/>
                <w:i/>
                <w:color w:val="000000"/>
                <w:sz w:val="22"/>
                <w:szCs w:val="22"/>
                <w:lang w:eastAsia="en-US"/>
              </w:rPr>
            </w:pPr>
          </w:p>
          <w:p w14:paraId="20A1808F" w14:textId="77777777" w:rsidR="007B59DF" w:rsidRPr="001A44AD" w:rsidRDefault="00AF1B51" w:rsidP="00123705">
            <w:pPr>
              <w:jc w:val="both"/>
              <w:rPr>
                <w:rFonts w:eastAsia="Calibri"/>
                <w:color w:val="000000"/>
                <w:sz w:val="22"/>
                <w:szCs w:val="22"/>
                <w:lang w:eastAsia="en-US"/>
              </w:rPr>
            </w:pPr>
            <w:r w:rsidRPr="001A44AD">
              <w:rPr>
                <w:rFonts w:eastAsia="Calibri"/>
                <w:color w:val="000000"/>
                <w:sz w:val="22"/>
                <w:szCs w:val="22"/>
                <w:lang w:eastAsia="en-US"/>
              </w:rPr>
              <w:t xml:space="preserve">Rangovas neturi teisės į Užbaigimo termino pratęsimą dėl Darbų, nurodytų Pirkimo techninėje specifikacijoje. </w:t>
            </w:r>
          </w:p>
          <w:p w14:paraId="6ECDBEA5" w14:textId="77777777" w:rsidR="00AF1B51" w:rsidRPr="001A44AD" w:rsidRDefault="00AF1B51" w:rsidP="00123705">
            <w:pPr>
              <w:jc w:val="both"/>
              <w:rPr>
                <w:rFonts w:eastAsia="Calibri"/>
                <w:color w:val="000000"/>
                <w:sz w:val="22"/>
                <w:szCs w:val="22"/>
                <w:lang w:eastAsia="en-US"/>
              </w:rPr>
            </w:pPr>
            <w:r w:rsidRPr="001A44AD">
              <w:rPr>
                <w:rFonts w:eastAsia="Calibri"/>
                <w:color w:val="000000"/>
                <w:sz w:val="22"/>
                <w:szCs w:val="22"/>
                <w:lang w:eastAsia="en-US"/>
              </w:rPr>
              <w:t xml:space="preserve">Rangovas turi teisę į Užbaigimo termino pratęsimą, jeigu </w:t>
            </w:r>
            <w:r w:rsidR="00C64CAB" w:rsidRPr="001A44AD">
              <w:rPr>
                <w:rFonts w:eastAsia="Calibri"/>
                <w:color w:val="000000"/>
                <w:sz w:val="22"/>
                <w:szCs w:val="22"/>
                <w:lang w:eastAsia="en-US"/>
              </w:rPr>
              <w:t>buvo atliktas Sutarties keitimas</w:t>
            </w:r>
            <w:r w:rsidRPr="001A44AD">
              <w:rPr>
                <w:rFonts w:eastAsia="Calibri"/>
                <w:color w:val="000000"/>
                <w:sz w:val="22"/>
                <w:szCs w:val="22"/>
                <w:lang w:eastAsia="en-US"/>
              </w:rPr>
              <w:t xml:space="preserve"> dėl </w:t>
            </w:r>
            <w:r w:rsidR="00C64CAB" w:rsidRPr="001A44AD">
              <w:rPr>
                <w:rFonts w:eastAsia="Calibri"/>
                <w:color w:val="000000"/>
                <w:sz w:val="22"/>
                <w:szCs w:val="22"/>
                <w:lang w:eastAsia="en-US"/>
              </w:rPr>
              <w:t xml:space="preserve">keičiamų ir/ar </w:t>
            </w:r>
            <w:r w:rsidRPr="001A44AD">
              <w:rPr>
                <w:rFonts w:eastAsia="Calibri"/>
                <w:color w:val="000000"/>
                <w:sz w:val="22"/>
                <w:szCs w:val="22"/>
                <w:lang w:eastAsia="en-US"/>
              </w:rPr>
              <w:t>papildomų Darbų</w:t>
            </w:r>
            <w:r w:rsidR="00C64CAB" w:rsidRPr="001A44AD">
              <w:rPr>
                <w:rFonts w:eastAsia="Calibri"/>
                <w:color w:val="000000"/>
                <w:sz w:val="22"/>
                <w:szCs w:val="22"/>
                <w:lang w:eastAsia="en-US"/>
              </w:rPr>
              <w:t xml:space="preserve"> įsigijimo ir dėl to Pradinė sutarties vertė, padidėjo daugiau nei </w:t>
            </w:r>
            <w:r w:rsidRPr="001A44AD">
              <w:rPr>
                <w:rFonts w:eastAsia="Calibri"/>
                <w:color w:val="000000"/>
                <w:sz w:val="22"/>
                <w:szCs w:val="22"/>
                <w:lang w:eastAsia="en-US"/>
              </w:rPr>
              <w:t>10 (dešimt) procentų</w:t>
            </w:r>
            <w:r w:rsidR="00C64CAB" w:rsidRPr="001A44AD">
              <w:rPr>
                <w:rFonts w:eastAsia="Calibri"/>
                <w:color w:val="000000"/>
                <w:sz w:val="22"/>
                <w:szCs w:val="22"/>
                <w:lang w:eastAsia="en-US"/>
              </w:rPr>
              <w:t>.</w:t>
            </w:r>
            <w:r w:rsidRPr="001A44AD">
              <w:rPr>
                <w:rFonts w:eastAsia="Calibri"/>
                <w:color w:val="000000"/>
                <w:sz w:val="22"/>
                <w:szCs w:val="22"/>
                <w:lang w:eastAsia="en-US"/>
              </w:rPr>
              <w:t xml:space="preserve"> </w:t>
            </w:r>
          </w:p>
          <w:p w14:paraId="6617B1D5" w14:textId="77777777" w:rsidR="007B59DF" w:rsidRPr="001A44AD" w:rsidRDefault="007B59DF" w:rsidP="00123705">
            <w:pPr>
              <w:rPr>
                <w:rFonts w:eastAsia="Calibri"/>
                <w:b/>
                <w:i/>
                <w:color w:val="000000"/>
                <w:sz w:val="22"/>
                <w:szCs w:val="22"/>
                <w:lang w:eastAsia="en-US"/>
              </w:rPr>
            </w:pPr>
          </w:p>
        </w:tc>
      </w:tr>
      <w:tr w:rsidR="007B59DF" w:rsidRPr="001A44AD" w14:paraId="2526606E"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567B9CF" w14:textId="77777777" w:rsidR="007B59DF" w:rsidRPr="001A44AD" w:rsidRDefault="007B59DF" w:rsidP="007B59DF">
            <w:pPr>
              <w:autoSpaceDN w:val="0"/>
              <w:rPr>
                <w:b/>
                <w:sz w:val="22"/>
                <w:szCs w:val="22"/>
              </w:rPr>
            </w:pPr>
            <w:r w:rsidRPr="001A44AD">
              <w:rPr>
                <w:b/>
                <w:sz w:val="22"/>
                <w:szCs w:val="22"/>
              </w:rPr>
              <w:t>8.9. punktas</w:t>
            </w:r>
          </w:p>
        </w:tc>
        <w:tc>
          <w:tcPr>
            <w:tcW w:w="8675" w:type="dxa"/>
            <w:tcBorders>
              <w:top w:val="single" w:sz="4" w:space="0" w:color="auto"/>
              <w:left w:val="single" w:sz="4" w:space="0" w:color="auto"/>
              <w:bottom w:val="single" w:sz="4" w:space="0" w:color="auto"/>
              <w:right w:val="single" w:sz="4" w:space="0" w:color="auto"/>
            </w:tcBorders>
          </w:tcPr>
          <w:p w14:paraId="07500D99" w14:textId="77777777" w:rsidR="007B59DF" w:rsidRPr="001A44AD" w:rsidRDefault="007B59DF" w:rsidP="007B59DF">
            <w:pPr>
              <w:rPr>
                <w:rFonts w:eastAsia="Calibri"/>
                <w:b/>
                <w:i/>
                <w:color w:val="000000"/>
                <w:sz w:val="22"/>
                <w:szCs w:val="22"/>
                <w:lang w:eastAsia="en-US"/>
              </w:rPr>
            </w:pPr>
            <w:r w:rsidRPr="001A44AD">
              <w:rPr>
                <w:rFonts w:eastAsia="Calibri"/>
                <w:b/>
                <w:color w:val="000000"/>
                <w:sz w:val="22"/>
                <w:szCs w:val="22"/>
                <w:lang w:eastAsia="en-US"/>
              </w:rPr>
              <w:t>Sustabdymas Užsakovo iniciatyva</w:t>
            </w:r>
          </w:p>
        </w:tc>
      </w:tr>
      <w:tr w:rsidR="007B59DF" w:rsidRPr="001A44AD" w14:paraId="5EF88A8A"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C4E1821"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6B007E5B" w14:textId="77777777" w:rsidR="007B59DF" w:rsidRPr="001A44AD" w:rsidRDefault="007B59DF" w:rsidP="007B59DF">
            <w:pPr>
              <w:rPr>
                <w:rFonts w:eastAsia="Calibri"/>
                <w:b/>
                <w:i/>
                <w:color w:val="000000"/>
                <w:sz w:val="22"/>
                <w:szCs w:val="22"/>
                <w:lang w:eastAsia="en-US"/>
              </w:rPr>
            </w:pPr>
          </w:p>
          <w:p w14:paraId="0CFC5722" w14:textId="77777777" w:rsidR="007B59DF" w:rsidRPr="001A44AD" w:rsidRDefault="007B59DF" w:rsidP="007B59DF">
            <w:pPr>
              <w:rPr>
                <w:rFonts w:eastAsia="Calibri"/>
                <w:b/>
                <w:i/>
                <w:color w:val="000000"/>
                <w:sz w:val="22"/>
                <w:szCs w:val="22"/>
                <w:lang w:eastAsia="en-US"/>
              </w:rPr>
            </w:pPr>
            <w:r w:rsidRPr="001A44AD">
              <w:rPr>
                <w:rFonts w:eastAsia="Calibri"/>
                <w:b/>
                <w:i/>
                <w:color w:val="000000"/>
                <w:sz w:val="22"/>
                <w:szCs w:val="22"/>
                <w:lang w:eastAsia="en-US"/>
              </w:rPr>
              <w:t>Papildyti 8.9 punktą ketvirta pastraipa ir ją išdėstyti taip:</w:t>
            </w:r>
          </w:p>
          <w:p w14:paraId="47A76062" w14:textId="77777777" w:rsidR="007B59DF" w:rsidRPr="001A44AD" w:rsidRDefault="007B59DF" w:rsidP="007B59DF">
            <w:pPr>
              <w:rPr>
                <w:rFonts w:eastAsia="Calibri"/>
                <w:b/>
                <w:i/>
                <w:color w:val="000000"/>
                <w:sz w:val="22"/>
                <w:szCs w:val="22"/>
                <w:lang w:eastAsia="en-US"/>
              </w:rPr>
            </w:pPr>
          </w:p>
          <w:p w14:paraId="7B296FCE"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Inžinierius turi teisę sustabdyti Darbus, pranešdamas Rangovui, nurodydamas tikslų arba apytikslį terminą, kuriam sustabdo Darbus (jeigu įmanoma), ir nurodydamas sustabdymo priežastis. Sustabdymo priežastys gali būti:</w:t>
            </w:r>
          </w:p>
          <w:p w14:paraId="7FB33ABA"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a) Užsakovui būtinas papildomas laikas įvykdyti viešojo pirkimo procedūras, kurių neįvykdžius negalima tęsti Darbų;</w:t>
            </w:r>
          </w:p>
          <w:p w14:paraId="19E0EC61" w14:textId="77777777" w:rsidR="00EB377C" w:rsidRPr="001A44AD" w:rsidRDefault="00EB377C"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b</w:t>
            </w:r>
            <w:r w:rsidR="007B59DF" w:rsidRPr="001A44AD">
              <w:rPr>
                <w:rFonts w:eastAsia="Arial"/>
                <w:sz w:val="22"/>
                <w:szCs w:val="22"/>
                <w:lang w:eastAsia="en-US"/>
              </w:rPr>
              <w:t xml:space="preserve">) </w:t>
            </w:r>
            <w:r w:rsidRPr="001A44AD">
              <w:rPr>
                <w:rFonts w:eastAsia="Arial"/>
                <w:sz w:val="22"/>
                <w:szCs w:val="22"/>
                <w:lang w:eastAsia="en-US"/>
              </w:rPr>
              <w:t>trečiųjų šalių įtaka;</w:t>
            </w:r>
          </w:p>
          <w:p w14:paraId="64D913FC" w14:textId="77777777" w:rsidR="007B59DF" w:rsidRPr="001A44AD" w:rsidRDefault="00EB377C"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c) </w:t>
            </w:r>
            <w:r w:rsidR="007B59DF" w:rsidRPr="001A44AD">
              <w:rPr>
                <w:rFonts w:eastAsia="Arial"/>
                <w:sz w:val="22"/>
                <w:szCs w:val="22"/>
                <w:lang w:eastAsia="en-US"/>
              </w:rPr>
              <w:t>kitos aplinkybės, kurios nebuvo žinomos Pirkimo vykdymo metu ir su kuriomis būtų susidūręs bet kuris rangovas ir (ar) užsakovas.</w:t>
            </w:r>
          </w:p>
          <w:p w14:paraId="76E0A713" w14:textId="77777777" w:rsidR="007B59DF" w:rsidRPr="001A44AD" w:rsidRDefault="007B59DF" w:rsidP="00123705">
            <w:pPr>
              <w:rPr>
                <w:rFonts w:eastAsia="Calibri"/>
                <w:b/>
                <w:i/>
                <w:color w:val="000000"/>
                <w:sz w:val="22"/>
                <w:szCs w:val="22"/>
                <w:lang w:eastAsia="en-US"/>
              </w:rPr>
            </w:pPr>
            <w:r w:rsidRPr="001A44AD">
              <w:rPr>
                <w:rFonts w:eastAsia="Calibri"/>
                <w:b/>
                <w:i/>
                <w:color w:val="000000"/>
                <w:sz w:val="22"/>
                <w:szCs w:val="22"/>
                <w:lang w:eastAsia="en-US"/>
              </w:rPr>
              <w:t>Papildyti 8.9 punktą penkta pastraipa ir ją išdėstyti taip:</w:t>
            </w:r>
          </w:p>
          <w:p w14:paraId="23767FC3"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Rangovas turi teisę sustabdyti Darbus, pranešdamas Inžinieriui ir Užsakovui, per žiemos pertrauką (nuo gruodžio 15 d. iki kovo 15 d. arba per kitą Užsakovo užduotyje nurodytą žiemos pertraukos laiką), jeigu jos metu tokie Darbai negali būti atliekami pagal Darbų dokumentuose ar Įstatymuose jiems keliamus technologinius reikalavimus ir nustatytus sprendinius dėl netinkamų klimatinių sąlygų. </w:t>
            </w:r>
          </w:p>
          <w:p w14:paraId="1410190F" w14:textId="77777777" w:rsidR="00EB377C" w:rsidRPr="001A44AD" w:rsidRDefault="00EB377C" w:rsidP="00123705">
            <w:pPr>
              <w:rPr>
                <w:rFonts w:eastAsia="Calibri"/>
                <w:b/>
                <w:i/>
                <w:color w:val="000000"/>
                <w:sz w:val="22"/>
                <w:szCs w:val="22"/>
                <w:lang w:eastAsia="en-US"/>
              </w:rPr>
            </w:pPr>
            <w:bookmarkStart w:id="57" w:name="_ymfzma" w:colFirst="0" w:colLast="0"/>
            <w:bookmarkStart w:id="58" w:name="_3im3ia3" w:colFirst="0" w:colLast="0"/>
            <w:bookmarkEnd w:id="57"/>
            <w:bookmarkEnd w:id="58"/>
          </w:p>
          <w:p w14:paraId="489E1749" w14:textId="77777777" w:rsidR="00EB377C" w:rsidRPr="001A44AD" w:rsidRDefault="00EB377C" w:rsidP="00123705">
            <w:pPr>
              <w:rPr>
                <w:rFonts w:eastAsia="Calibri"/>
                <w:b/>
                <w:i/>
                <w:color w:val="000000"/>
                <w:sz w:val="22"/>
                <w:szCs w:val="22"/>
                <w:lang w:eastAsia="en-US"/>
              </w:rPr>
            </w:pPr>
            <w:r w:rsidRPr="001A44AD">
              <w:rPr>
                <w:rFonts w:eastAsia="Calibri"/>
                <w:b/>
                <w:i/>
                <w:color w:val="000000"/>
                <w:sz w:val="22"/>
                <w:szCs w:val="22"/>
                <w:lang w:eastAsia="en-US"/>
              </w:rPr>
              <w:t>Papildyti 8.9 punktą šešta pastraipa ir ją išdėstyti taip:</w:t>
            </w:r>
          </w:p>
          <w:p w14:paraId="73F02641" w14:textId="5E94797C" w:rsidR="00EB377C" w:rsidRPr="001A44AD" w:rsidRDefault="00EB377C" w:rsidP="006E48AC">
            <w:pPr>
              <w:widowControl w:val="0"/>
              <w:pBdr>
                <w:top w:val="nil"/>
                <w:left w:val="nil"/>
                <w:bottom w:val="nil"/>
                <w:right w:val="nil"/>
                <w:between w:val="nil"/>
              </w:pBdr>
              <w:tabs>
                <w:tab w:val="left" w:pos="567"/>
                <w:tab w:val="left" w:pos="851"/>
                <w:tab w:val="left" w:pos="992"/>
                <w:tab w:val="left" w:pos="1134"/>
              </w:tabs>
              <w:spacing w:before="96" w:after="96"/>
              <w:jc w:val="both"/>
              <w:rPr>
                <w:rFonts w:eastAsia="Calibri"/>
                <w:b/>
                <w:i/>
                <w:color w:val="000000"/>
                <w:sz w:val="22"/>
                <w:szCs w:val="22"/>
                <w:lang w:eastAsia="en-US"/>
              </w:rPr>
            </w:pPr>
            <w:r w:rsidRPr="001A44AD">
              <w:rPr>
                <w:rFonts w:eastAsia="Calibri"/>
                <w:color w:val="000000"/>
                <w:sz w:val="22"/>
                <w:szCs w:val="22"/>
                <w:lang w:eastAsia="en-US"/>
              </w:rPr>
              <w:t xml:space="preserve">Po to, kai Inžinierius praneša Rangovui apie Darbų atnaujinimą </w:t>
            </w:r>
            <w:r w:rsidR="00116353" w:rsidRPr="001A44AD">
              <w:rPr>
                <w:rFonts w:eastAsia="Calibri"/>
                <w:color w:val="000000"/>
                <w:sz w:val="22"/>
                <w:szCs w:val="22"/>
                <w:lang w:eastAsia="en-US"/>
              </w:rPr>
              <w:t xml:space="preserve">Užbaigimo terminas pratęsiamas </w:t>
            </w:r>
            <w:r w:rsidR="006E48AC">
              <w:rPr>
                <w:rFonts w:eastAsia="Calibri"/>
                <w:color w:val="000000"/>
                <w:sz w:val="22"/>
                <w:szCs w:val="22"/>
                <w:lang w:eastAsia="en-US"/>
              </w:rPr>
              <w:t xml:space="preserve">likusiam Užbaigimo terminui, kuris buvo likęs iki Darbų sustabdymo. </w:t>
            </w:r>
          </w:p>
        </w:tc>
      </w:tr>
      <w:tr w:rsidR="007B59DF" w:rsidRPr="001A44AD" w14:paraId="797B5892"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7FE7C4F1" w14:textId="77777777" w:rsidR="007B59DF" w:rsidRPr="001A44AD" w:rsidRDefault="007B59DF" w:rsidP="007B59DF">
            <w:pPr>
              <w:suppressAutoHyphens/>
              <w:overflowPunct w:val="0"/>
              <w:autoSpaceDE w:val="0"/>
              <w:autoSpaceDN w:val="0"/>
              <w:adjustRightInd w:val="0"/>
              <w:jc w:val="center"/>
              <w:textAlignment w:val="baseline"/>
              <w:rPr>
                <w:sz w:val="22"/>
                <w:szCs w:val="22"/>
                <w:lang w:eastAsia="en-US"/>
              </w:rPr>
            </w:pPr>
            <w:bookmarkStart w:id="59" w:name="_Toc128826834"/>
            <w:bookmarkStart w:id="60" w:name="_Toc140564102"/>
            <w:bookmarkStart w:id="61" w:name="_Toc143077377"/>
            <w:bookmarkStart w:id="62" w:name="_Toc143518399"/>
            <w:bookmarkStart w:id="63" w:name="_Toc143677755"/>
            <w:bookmarkStart w:id="64" w:name="_Toc217377182"/>
            <w:r w:rsidRPr="001A44AD">
              <w:rPr>
                <w:b/>
                <w:sz w:val="22"/>
                <w:szCs w:val="22"/>
                <w:lang w:eastAsia="en-US"/>
              </w:rPr>
              <w:t>10 straipsnis. Perdavimas Užsakovui</w:t>
            </w:r>
            <w:bookmarkEnd w:id="59"/>
            <w:bookmarkEnd w:id="60"/>
            <w:bookmarkEnd w:id="61"/>
            <w:bookmarkEnd w:id="62"/>
            <w:bookmarkEnd w:id="63"/>
            <w:bookmarkEnd w:id="64"/>
          </w:p>
        </w:tc>
      </w:tr>
      <w:tr w:rsidR="007B59DF" w:rsidRPr="001A44AD" w14:paraId="0437D27A"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0C01BF2B" w14:textId="77777777" w:rsidR="007B59DF" w:rsidRPr="001A44AD" w:rsidRDefault="007B59DF" w:rsidP="007B59DF">
            <w:pPr>
              <w:autoSpaceDN w:val="0"/>
              <w:rPr>
                <w:b/>
                <w:sz w:val="22"/>
                <w:szCs w:val="22"/>
              </w:rPr>
            </w:pPr>
            <w:r w:rsidRPr="001A44AD">
              <w:rPr>
                <w:b/>
                <w:sz w:val="22"/>
                <w:szCs w:val="22"/>
              </w:rPr>
              <w:t>10.1 punktas</w:t>
            </w:r>
          </w:p>
        </w:tc>
        <w:tc>
          <w:tcPr>
            <w:tcW w:w="8675" w:type="dxa"/>
            <w:tcBorders>
              <w:top w:val="single" w:sz="4" w:space="0" w:color="auto"/>
              <w:left w:val="single" w:sz="4" w:space="0" w:color="auto"/>
              <w:bottom w:val="single" w:sz="4" w:space="0" w:color="auto"/>
              <w:right w:val="single" w:sz="4" w:space="0" w:color="auto"/>
            </w:tcBorders>
            <w:hideMark/>
          </w:tcPr>
          <w:p w14:paraId="3A0F9E47" w14:textId="77777777" w:rsidR="007B59DF" w:rsidRPr="001A44AD" w:rsidRDefault="007B59DF" w:rsidP="007B59DF">
            <w:pPr>
              <w:autoSpaceDN w:val="0"/>
              <w:rPr>
                <w:b/>
                <w:bCs/>
                <w:sz w:val="22"/>
                <w:szCs w:val="22"/>
              </w:rPr>
            </w:pPr>
            <w:bookmarkStart w:id="65" w:name="darbu_peremimas_10_1"/>
            <w:r w:rsidRPr="001A44AD">
              <w:rPr>
                <w:b/>
                <w:bCs/>
                <w:sz w:val="22"/>
                <w:szCs w:val="22"/>
              </w:rPr>
              <w:t xml:space="preserve">Darbų ir </w:t>
            </w:r>
            <w:r w:rsidR="00123705" w:rsidRPr="001A44AD">
              <w:rPr>
                <w:b/>
                <w:bCs/>
                <w:sz w:val="22"/>
                <w:szCs w:val="22"/>
              </w:rPr>
              <w:t xml:space="preserve">Darbų </w:t>
            </w:r>
            <w:r w:rsidRPr="001A44AD">
              <w:rPr>
                <w:b/>
                <w:bCs/>
                <w:sz w:val="22"/>
                <w:szCs w:val="22"/>
              </w:rPr>
              <w:t xml:space="preserve">grupių perėmimas </w:t>
            </w:r>
            <w:bookmarkEnd w:id="65"/>
          </w:p>
        </w:tc>
      </w:tr>
      <w:tr w:rsidR="007B59DF" w:rsidRPr="001A44AD" w14:paraId="3FD5FFB2"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6C924D23"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094C298A" w14:textId="77777777" w:rsidR="00700DD6" w:rsidRDefault="00700DD6" w:rsidP="007B59DF">
            <w:pPr>
              <w:jc w:val="both"/>
              <w:rPr>
                <w:rFonts w:eastAsia="Calibri"/>
                <w:b/>
                <w:i/>
                <w:sz w:val="22"/>
                <w:szCs w:val="22"/>
                <w:lang w:eastAsia="en-US"/>
              </w:rPr>
            </w:pPr>
          </w:p>
          <w:p w14:paraId="43A6281B" w14:textId="7C5FFBCF" w:rsidR="007B59DF" w:rsidRPr="001A44AD" w:rsidRDefault="00123705" w:rsidP="007B59DF">
            <w:pPr>
              <w:jc w:val="both"/>
              <w:rPr>
                <w:rFonts w:eastAsia="Calibri"/>
                <w:b/>
                <w:i/>
                <w:sz w:val="22"/>
                <w:szCs w:val="22"/>
                <w:lang w:eastAsia="en-US"/>
              </w:rPr>
            </w:pPr>
            <w:r w:rsidRPr="001A44AD">
              <w:rPr>
                <w:rFonts w:eastAsia="Calibri"/>
                <w:b/>
                <w:i/>
                <w:sz w:val="22"/>
                <w:szCs w:val="22"/>
                <w:lang w:eastAsia="en-US"/>
              </w:rPr>
              <w:t>Papildyti 10.1. punkto pirmą pastraipą ir išdėstyti ją taip:</w:t>
            </w:r>
          </w:p>
          <w:p w14:paraId="585D7F54" w14:textId="77777777" w:rsidR="00123705" w:rsidRPr="001A44AD" w:rsidRDefault="00123705" w:rsidP="007B59DF">
            <w:pPr>
              <w:tabs>
                <w:tab w:val="num" w:pos="1167"/>
              </w:tabs>
              <w:ind w:firstLine="851"/>
              <w:jc w:val="both"/>
              <w:rPr>
                <w:rFonts w:eastAsia="Calibri"/>
                <w:sz w:val="22"/>
                <w:szCs w:val="22"/>
                <w:lang w:eastAsia="en-US"/>
              </w:rPr>
            </w:pPr>
          </w:p>
          <w:p w14:paraId="15EAAC75" w14:textId="77777777" w:rsidR="007B59DF" w:rsidRPr="001A44AD" w:rsidRDefault="00123705" w:rsidP="007B59DF">
            <w:pPr>
              <w:tabs>
                <w:tab w:val="num" w:pos="1167"/>
              </w:tabs>
              <w:ind w:firstLine="851"/>
              <w:jc w:val="both"/>
              <w:rPr>
                <w:rFonts w:eastAsia="Calibri"/>
                <w:sz w:val="22"/>
                <w:szCs w:val="22"/>
                <w:lang w:eastAsia="en-US"/>
              </w:rPr>
            </w:pPr>
            <w:r w:rsidRPr="001A44AD">
              <w:rPr>
                <w:rFonts w:eastAsia="Calibri"/>
                <w:sz w:val="22"/>
                <w:szCs w:val="22"/>
                <w:lang w:eastAsia="en-US"/>
              </w:rPr>
              <w:t xml:space="preserve">f) </w:t>
            </w:r>
            <w:r w:rsidR="007B59DF" w:rsidRPr="001A44AD">
              <w:rPr>
                <w:rFonts w:eastAsia="Calibri"/>
                <w:sz w:val="22"/>
                <w:szCs w:val="22"/>
                <w:lang w:eastAsia="en-US"/>
              </w:rPr>
              <w:t xml:space="preserve">Rangovas </w:t>
            </w:r>
            <w:r w:rsidR="00183965" w:rsidRPr="001A44AD">
              <w:rPr>
                <w:rFonts w:eastAsia="Calibri"/>
                <w:sz w:val="22"/>
                <w:szCs w:val="22"/>
                <w:lang w:eastAsia="en-US"/>
              </w:rPr>
              <w:t>atliko</w:t>
            </w:r>
            <w:r w:rsidR="007B59DF" w:rsidRPr="001A44AD">
              <w:rPr>
                <w:rFonts w:eastAsia="Calibri"/>
                <w:sz w:val="22"/>
                <w:szCs w:val="22"/>
                <w:lang w:eastAsia="en-US"/>
              </w:rPr>
              <w:t xml:space="preserve"> statybos užbaigimo procedūras, kurios nustatytos Lietuvos Respublikos statybos įstatymo ir STR 1.05.01:2017 „Statybą leidžiantys dokumentai. Statybos užbaigimas. Statybos sustabdymas. Savavališkos statybos padarinių šalinimas. Statybos pagal neteisėtai išduotą statybą leidžiantį dokumentą padarinių šalinimas“ ir g</w:t>
            </w:r>
            <w:r w:rsidR="00183965" w:rsidRPr="001A44AD">
              <w:rPr>
                <w:rFonts w:eastAsia="Calibri"/>
                <w:sz w:val="22"/>
                <w:szCs w:val="22"/>
                <w:lang w:eastAsia="en-US"/>
              </w:rPr>
              <w:t>avo</w:t>
            </w:r>
            <w:r w:rsidR="007B59DF" w:rsidRPr="001A44AD">
              <w:rPr>
                <w:rFonts w:eastAsia="Calibri"/>
                <w:sz w:val="22"/>
                <w:szCs w:val="22"/>
                <w:lang w:eastAsia="en-US"/>
              </w:rPr>
              <w:t xml:space="preserve"> statybos užbaigimo dokumentus. </w:t>
            </w:r>
          </w:p>
          <w:p w14:paraId="66E6D067" w14:textId="77777777" w:rsidR="007B59DF" w:rsidRPr="001A44AD" w:rsidRDefault="007B59DF" w:rsidP="00123705">
            <w:pPr>
              <w:tabs>
                <w:tab w:val="num" w:pos="1167"/>
              </w:tabs>
              <w:jc w:val="both"/>
              <w:rPr>
                <w:rFonts w:eastAsia="Calibri"/>
                <w:sz w:val="22"/>
                <w:szCs w:val="22"/>
                <w:lang w:eastAsia="en-US"/>
              </w:rPr>
            </w:pPr>
          </w:p>
        </w:tc>
      </w:tr>
      <w:tr w:rsidR="007B59DF" w:rsidRPr="001A44AD" w14:paraId="337A0D9B" w14:textId="77777777" w:rsidTr="00F267A9">
        <w:tc>
          <w:tcPr>
            <w:tcW w:w="10343" w:type="dxa"/>
            <w:gridSpan w:val="3"/>
            <w:tcBorders>
              <w:top w:val="single" w:sz="4" w:space="0" w:color="auto"/>
              <w:left w:val="single" w:sz="4" w:space="0" w:color="auto"/>
              <w:bottom w:val="single" w:sz="4" w:space="0" w:color="auto"/>
              <w:right w:val="single" w:sz="4" w:space="0" w:color="auto"/>
            </w:tcBorders>
            <w:hideMark/>
          </w:tcPr>
          <w:p w14:paraId="0FBF284F" w14:textId="77777777" w:rsidR="007B59DF" w:rsidRPr="001A44AD" w:rsidRDefault="007B59DF" w:rsidP="007B59DF">
            <w:pPr>
              <w:autoSpaceDN w:val="0"/>
              <w:jc w:val="center"/>
              <w:rPr>
                <w:b/>
                <w:sz w:val="22"/>
                <w:szCs w:val="22"/>
              </w:rPr>
            </w:pPr>
            <w:r w:rsidRPr="001A44AD">
              <w:rPr>
                <w:b/>
                <w:sz w:val="22"/>
                <w:szCs w:val="22"/>
              </w:rPr>
              <w:t>13 straipsnis. Pakeitimai ir pataisymai</w:t>
            </w:r>
          </w:p>
        </w:tc>
      </w:tr>
      <w:tr w:rsidR="007B59DF" w:rsidRPr="001A44AD" w14:paraId="03AAA21D"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C68C1E8" w14:textId="77777777" w:rsidR="007B59DF" w:rsidRPr="001A44AD" w:rsidRDefault="007B59DF" w:rsidP="007B59DF">
            <w:pPr>
              <w:autoSpaceDN w:val="0"/>
              <w:rPr>
                <w:b/>
                <w:sz w:val="22"/>
                <w:szCs w:val="22"/>
              </w:rPr>
            </w:pPr>
            <w:r w:rsidRPr="001A44AD">
              <w:rPr>
                <w:b/>
                <w:sz w:val="22"/>
                <w:szCs w:val="22"/>
              </w:rPr>
              <w:t>13.1 punktas</w:t>
            </w:r>
          </w:p>
        </w:tc>
        <w:tc>
          <w:tcPr>
            <w:tcW w:w="8675" w:type="dxa"/>
            <w:tcBorders>
              <w:top w:val="single" w:sz="4" w:space="0" w:color="auto"/>
              <w:left w:val="single" w:sz="4" w:space="0" w:color="auto"/>
              <w:bottom w:val="single" w:sz="4" w:space="0" w:color="auto"/>
              <w:right w:val="single" w:sz="4" w:space="0" w:color="auto"/>
            </w:tcBorders>
            <w:hideMark/>
          </w:tcPr>
          <w:p w14:paraId="09E3CFE1" w14:textId="77777777" w:rsidR="007B59DF" w:rsidRPr="001A44AD" w:rsidRDefault="007B59DF" w:rsidP="007B59DF">
            <w:pPr>
              <w:autoSpaceDN w:val="0"/>
              <w:rPr>
                <w:b/>
                <w:sz w:val="22"/>
                <w:szCs w:val="22"/>
              </w:rPr>
            </w:pPr>
            <w:r w:rsidRPr="001A44AD">
              <w:rPr>
                <w:b/>
                <w:sz w:val="22"/>
                <w:szCs w:val="22"/>
              </w:rPr>
              <w:t>Teisė daryti pakeitimus</w:t>
            </w:r>
          </w:p>
        </w:tc>
      </w:tr>
      <w:tr w:rsidR="007B59DF" w:rsidRPr="001A44AD" w14:paraId="25C403FC"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419EEE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31EFE360" w14:textId="77777777" w:rsidR="002F11C8" w:rsidRPr="001A44AD" w:rsidRDefault="002F11C8" w:rsidP="002F11C8">
            <w:pPr>
              <w:jc w:val="both"/>
              <w:rPr>
                <w:rFonts w:eastAsia="Calibri"/>
                <w:b/>
                <w:i/>
                <w:sz w:val="22"/>
                <w:szCs w:val="22"/>
              </w:rPr>
            </w:pPr>
          </w:p>
          <w:p w14:paraId="5AF29538" w14:textId="77777777" w:rsidR="002F11C8" w:rsidRPr="001A44AD" w:rsidRDefault="002F11C8" w:rsidP="002F11C8">
            <w:pPr>
              <w:jc w:val="both"/>
              <w:rPr>
                <w:rFonts w:eastAsia="Calibri"/>
                <w:b/>
                <w:i/>
                <w:sz w:val="22"/>
                <w:szCs w:val="22"/>
              </w:rPr>
            </w:pPr>
            <w:r w:rsidRPr="001A44AD">
              <w:rPr>
                <w:rFonts w:eastAsia="Calibri"/>
                <w:b/>
                <w:i/>
                <w:sz w:val="22"/>
                <w:szCs w:val="22"/>
              </w:rPr>
              <w:t xml:space="preserve">Pakeisti 13.1. punktą ir išdėstyti jį taip: </w:t>
            </w:r>
          </w:p>
          <w:p w14:paraId="275359CA" w14:textId="77777777" w:rsidR="002F11C8" w:rsidRPr="001A44AD" w:rsidRDefault="002F11C8" w:rsidP="002F11C8">
            <w:pPr>
              <w:jc w:val="both"/>
              <w:rPr>
                <w:rFonts w:eastAsia="Calibri"/>
                <w:sz w:val="22"/>
                <w:szCs w:val="22"/>
              </w:rPr>
            </w:pPr>
          </w:p>
          <w:p w14:paraId="43A8690F" w14:textId="77777777" w:rsidR="002F11C8" w:rsidRPr="001A44AD" w:rsidRDefault="002F11C8" w:rsidP="002F11C8">
            <w:pPr>
              <w:jc w:val="both"/>
              <w:rPr>
                <w:rFonts w:eastAsia="Calibri"/>
                <w:i/>
                <w:sz w:val="22"/>
                <w:szCs w:val="22"/>
              </w:rPr>
            </w:pPr>
            <w:r w:rsidRPr="001A44AD">
              <w:rPr>
                <w:rFonts w:eastAsia="Calibri"/>
                <w:sz w:val="22"/>
                <w:szCs w:val="22"/>
              </w:rPr>
              <w:t xml:space="preserve">Inžinierius gali bet kuriuo metu iki Darbų Priėmimo – perdavimo akto išdavimo inicijuoti Pakeitimus pagal 13.3. punktą </w:t>
            </w:r>
            <w:r w:rsidRPr="001A44AD">
              <w:rPr>
                <w:rFonts w:eastAsia="Calibri"/>
                <w:i/>
                <w:sz w:val="22"/>
                <w:szCs w:val="22"/>
              </w:rPr>
              <w:t>[Pakeitimų tvarka].</w:t>
            </w:r>
          </w:p>
          <w:p w14:paraId="2ED333A6" w14:textId="77777777" w:rsidR="002F11C8" w:rsidRPr="001A44AD" w:rsidRDefault="002F11C8" w:rsidP="002F11C8">
            <w:pPr>
              <w:jc w:val="both"/>
              <w:rPr>
                <w:rFonts w:eastAsia="Calibri"/>
                <w:sz w:val="22"/>
                <w:szCs w:val="22"/>
              </w:rPr>
            </w:pPr>
          </w:p>
          <w:p w14:paraId="777140EA" w14:textId="66C6EAD0" w:rsidR="002F11C8" w:rsidRPr="001A44AD" w:rsidRDefault="002F11C8" w:rsidP="002F11C8">
            <w:pPr>
              <w:jc w:val="both"/>
              <w:rPr>
                <w:rFonts w:eastAsia="Calibri"/>
                <w:sz w:val="22"/>
                <w:szCs w:val="22"/>
              </w:rPr>
            </w:pPr>
            <w:r w:rsidRPr="001A44AD">
              <w:rPr>
                <w:rFonts w:eastAsia="Calibri"/>
                <w:sz w:val="22"/>
                <w:szCs w:val="22"/>
              </w:rPr>
              <w:t xml:space="preserve">Kiekvienas </w:t>
            </w:r>
            <w:r w:rsidR="00C46FD2">
              <w:rPr>
                <w:rFonts w:eastAsia="Calibri"/>
                <w:sz w:val="22"/>
                <w:szCs w:val="22"/>
              </w:rPr>
              <w:t>P</w:t>
            </w:r>
            <w:r w:rsidRPr="001A44AD">
              <w:rPr>
                <w:rFonts w:eastAsia="Calibri"/>
                <w:sz w:val="22"/>
                <w:szCs w:val="22"/>
              </w:rPr>
              <w:t>akeitimas gali apimti:</w:t>
            </w:r>
          </w:p>
          <w:p w14:paraId="4ED45A80" w14:textId="77777777" w:rsidR="00970F82" w:rsidRPr="001A44AD" w:rsidRDefault="00970F82" w:rsidP="002F11C8">
            <w:pPr>
              <w:jc w:val="both"/>
              <w:rPr>
                <w:rFonts w:eastAsia="Calibri"/>
                <w:sz w:val="22"/>
                <w:szCs w:val="22"/>
              </w:rPr>
            </w:pPr>
          </w:p>
          <w:p w14:paraId="43A0C654" w14:textId="77777777" w:rsidR="002F11C8" w:rsidRPr="001A44AD" w:rsidRDefault="002F11C8" w:rsidP="00700DD6">
            <w:pPr>
              <w:pStyle w:val="ListParagraph"/>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kurio Sutartyje numatyto darbo kiekių keitimus</w:t>
            </w:r>
            <w:r w:rsidR="008063AB" w:rsidRPr="001A44AD">
              <w:rPr>
                <w:rFonts w:ascii="Times New Roman" w:eastAsia="Calibri" w:hAnsi="Times New Roman" w:cs="Times New Roman"/>
                <w:lang w:val="lt-LT"/>
              </w:rPr>
              <w:t>;</w:t>
            </w:r>
          </w:p>
          <w:p w14:paraId="09E55897" w14:textId="157ABCFB" w:rsidR="008063AB" w:rsidRPr="001A44AD" w:rsidRDefault="008063AB" w:rsidP="00700DD6">
            <w:pPr>
              <w:pStyle w:val="ListParagraph"/>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kokių darbų atsisakymą ir/arba keitimą kitais, kai vieni Darbai yra keičiami kitais, laikoma, kad Darbai, kurie nebus vykdomi yra atsisakomi darbai, o juos pakeičiantys darbai yra papildomi darbai;</w:t>
            </w:r>
          </w:p>
          <w:p w14:paraId="3E8444B0" w14:textId="77777777" w:rsidR="002F11C8" w:rsidRPr="001A44AD" w:rsidRDefault="00970F82" w:rsidP="00700DD6">
            <w:pPr>
              <w:pStyle w:val="ListParagraph"/>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kokį papildomą darbą, Įrenginius, Medžiagas ar paslaugas, kurios yra būtino užbaigti Darbus, įskaitant su tuo susijusius Baigiamuosius bandymus, gręžinius bei kitus bandymus ir tyrimus;</w:t>
            </w:r>
          </w:p>
          <w:p w14:paraId="446C0BC4" w14:textId="74027379" w:rsidR="008D02B6" w:rsidRPr="001A44AD" w:rsidRDefault="00C46FD2" w:rsidP="002F11C8">
            <w:pPr>
              <w:jc w:val="both"/>
              <w:rPr>
                <w:rFonts w:eastAsia="Calibri"/>
                <w:sz w:val="22"/>
                <w:szCs w:val="22"/>
              </w:rPr>
            </w:pPr>
            <w:r>
              <w:rPr>
                <w:rFonts w:eastAsia="Calibri"/>
                <w:sz w:val="22"/>
                <w:szCs w:val="22"/>
              </w:rPr>
              <w:t>Inžinierius gali inicijuoti P</w:t>
            </w:r>
            <w:r w:rsidR="008D02B6" w:rsidRPr="001A44AD">
              <w:rPr>
                <w:rFonts w:eastAsia="Calibri"/>
                <w:sz w:val="22"/>
                <w:szCs w:val="22"/>
              </w:rPr>
              <w:t>akeitimus jeigu:</w:t>
            </w:r>
          </w:p>
          <w:p w14:paraId="000C2CA8" w14:textId="77777777" w:rsidR="008D02B6" w:rsidRPr="001A44AD" w:rsidRDefault="008D02B6" w:rsidP="002F11C8">
            <w:pPr>
              <w:jc w:val="both"/>
              <w:rPr>
                <w:rFonts w:eastAsia="Calibri"/>
                <w:sz w:val="22"/>
                <w:szCs w:val="22"/>
              </w:rPr>
            </w:pPr>
          </w:p>
          <w:p w14:paraId="6E19E353" w14:textId="77777777" w:rsidR="002F11C8" w:rsidRPr="001A44AD" w:rsidRDefault="008D02B6" w:rsidP="002F11C8">
            <w:pPr>
              <w:jc w:val="both"/>
              <w:rPr>
                <w:rFonts w:eastAsia="Calibri"/>
                <w:sz w:val="22"/>
                <w:szCs w:val="22"/>
              </w:rPr>
            </w:pPr>
            <w:r w:rsidRPr="001A44AD">
              <w:rPr>
                <w:rFonts w:eastAsia="Calibri"/>
                <w:sz w:val="22"/>
                <w:szCs w:val="22"/>
              </w:rPr>
              <w:t xml:space="preserve">a) papildomų Darbų vertė neviršija </w:t>
            </w:r>
            <w:r w:rsidR="002F11C8" w:rsidRPr="001A44AD">
              <w:rPr>
                <w:rFonts w:eastAsia="Calibri"/>
                <w:sz w:val="22"/>
                <w:szCs w:val="22"/>
              </w:rPr>
              <w:t>15</w:t>
            </w:r>
            <w:r w:rsidRPr="001A44AD">
              <w:rPr>
                <w:rFonts w:eastAsia="Calibri"/>
                <w:sz w:val="22"/>
                <w:szCs w:val="22"/>
              </w:rPr>
              <w:t xml:space="preserve"> (penkiolikos)</w:t>
            </w:r>
            <w:r w:rsidR="002F11C8" w:rsidRPr="001A44AD">
              <w:rPr>
                <w:rFonts w:eastAsia="Calibri"/>
                <w:sz w:val="22"/>
                <w:szCs w:val="22"/>
              </w:rPr>
              <w:t xml:space="preserve"> procentų </w:t>
            </w:r>
            <w:r w:rsidRPr="001A44AD">
              <w:rPr>
                <w:rFonts w:eastAsia="Calibri"/>
                <w:sz w:val="22"/>
                <w:szCs w:val="22"/>
              </w:rPr>
              <w:t>Pradinės sutarties vertės</w:t>
            </w:r>
            <w:r w:rsidR="002F11C8" w:rsidRPr="001A44AD">
              <w:rPr>
                <w:rFonts w:eastAsia="Calibri"/>
                <w:sz w:val="22"/>
                <w:szCs w:val="22"/>
              </w:rPr>
              <w:t xml:space="preserve"> esant šioms aplinkybėms: </w:t>
            </w:r>
          </w:p>
          <w:p w14:paraId="7232CD21" w14:textId="77777777" w:rsidR="00135D43" w:rsidRPr="001A44AD" w:rsidRDefault="00135D43" w:rsidP="002F11C8">
            <w:pPr>
              <w:jc w:val="both"/>
              <w:rPr>
                <w:rFonts w:eastAsia="Calibri"/>
                <w:sz w:val="22"/>
                <w:szCs w:val="22"/>
              </w:rPr>
            </w:pPr>
          </w:p>
          <w:p w14:paraId="21F45AB5" w14:textId="77777777" w:rsidR="002F11C8" w:rsidRPr="001A44AD" w:rsidRDefault="002F11C8"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duomenų apie inžinerinius tinklus, kitus objekte esančius statinius, jų įrengimą nebuvimas arba klaidingi duomenys;</w:t>
            </w:r>
          </w:p>
          <w:p w14:paraId="3648A500" w14:textId="77777777" w:rsidR="002F11C8" w:rsidRPr="001A44AD" w:rsidRDefault="00970F82"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d</w:t>
            </w:r>
            <w:r w:rsidR="002F11C8" w:rsidRPr="001A44AD">
              <w:rPr>
                <w:rFonts w:ascii="Times New Roman" w:eastAsia="Calibri" w:hAnsi="Times New Roman" w:cs="Times New Roman"/>
                <w:lang w:val="lt-LT"/>
              </w:rPr>
              <w:t>arbus kontroliuojančių institucijų ar teisės aktų, susijusių su vykdomais Darbais, reikalavimų pasikeitimas Sutarties vykdymo metu;</w:t>
            </w:r>
          </w:p>
          <w:p w14:paraId="1BEEC346" w14:textId="77777777" w:rsidR="002F11C8" w:rsidRPr="001A44AD" w:rsidRDefault="002F11C8"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įvykdyto ar vykdomo projekto vientisumo užtikrinimas;</w:t>
            </w:r>
          </w:p>
          <w:p w14:paraId="31C618D7" w14:textId="77777777" w:rsidR="002F11C8" w:rsidRPr="001A44AD" w:rsidRDefault="002F11C8"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kai būtina atlikti papildomą, Sutartyje nenumatytą, Darbą, be kurio Rangovas negali tinkamai įvykdyti Sutarties;</w:t>
            </w:r>
          </w:p>
          <w:p w14:paraId="17B3C3BA" w14:textId="77777777" w:rsidR="002F11C8" w:rsidRPr="001A44AD" w:rsidRDefault="00970F82"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k</w:t>
            </w:r>
            <w:r w:rsidR="002F11C8" w:rsidRPr="001A44AD">
              <w:rPr>
                <w:rFonts w:ascii="Times New Roman" w:eastAsia="Calibri" w:hAnsi="Times New Roman" w:cs="Times New Roman"/>
                <w:lang w:val="lt-LT"/>
              </w:rPr>
              <w:t xml:space="preserve">ai Techniniame </w:t>
            </w:r>
            <w:r w:rsidR="008D02B6" w:rsidRPr="001A44AD">
              <w:rPr>
                <w:rFonts w:ascii="Times New Roman" w:eastAsia="Calibri" w:hAnsi="Times New Roman" w:cs="Times New Roman"/>
                <w:lang w:val="lt-LT"/>
              </w:rPr>
              <w:t>darbo</w:t>
            </w:r>
            <w:r w:rsidR="002F11C8" w:rsidRPr="001A44AD">
              <w:rPr>
                <w:rFonts w:ascii="Times New Roman" w:eastAsia="Calibri" w:hAnsi="Times New Roman" w:cs="Times New Roman"/>
                <w:lang w:val="lt-LT"/>
              </w:rPr>
              <w:t xml:space="preserve"> projekte nurodytos </w:t>
            </w:r>
            <w:r w:rsidR="008D02B6" w:rsidRPr="001A44AD">
              <w:rPr>
                <w:rFonts w:ascii="Times New Roman" w:eastAsia="Calibri" w:hAnsi="Times New Roman" w:cs="Times New Roman"/>
                <w:lang w:val="lt-LT"/>
              </w:rPr>
              <w:t>M</w:t>
            </w:r>
            <w:r w:rsidR="002F11C8" w:rsidRPr="001A44AD">
              <w:rPr>
                <w:rFonts w:ascii="Times New Roman" w:eastAsia="Calibri" w:hAnsi="Times New Roman" w:cs="Times New Roman"/>
                <w:lang w:val="lt-LT"/>
              </w:rPr>
              <w:t xml:space="preserve">edžiagos, </w:t>
            </w:r>
            <w:r w:rsidR="008D02B6" w:rsidRPr="001A44AD">
              <w:rPr>
                <w:rFonts w:ascii="Times New Roman" w:eastAsia="Calibri" w:hAnsi="Times New Roman" w:cs="Times New Roman"/>
                <w:lang w:val="lt-LT"/>
              </w:rPr>
              <w:t>Į</w:t>
            </w:r>
            <w:r w:rsidR="002F11C8" w:rsidRPr="001A44AD">
              <w:rPr>
                <w:rFonts w:ascii="Times New Roman" w:eastAsia="Calibri" w:hAnsi="Times New Roman" w:cs="Times New Roman"/>
                <w:lang w:val="lt-LT"/>
              </w:rPr>
              <w:t>ranga</w:t>
            </w:r>
            <w:r w:rsidR="008D02B6" w:rsidRPr="001A44AD">
              <w:rPr>
                <w:rFonts w:ascii="Times New Roman" w:eastAsia="Calibri" w:hAnsi="Times New Roman" w:cs="Times New Roman"/>
                <w:lang w:val="lt-LT"/>
              </w:rPr>
              <w:t xml:space="preserve"> ar</w:t>
            </w:r>
            <w:r w:rsidR="002F11C8" w:rsidRPr="001A44AD">
              <w:rPr>
                <w:rFonts w:ascii="Times New Roman" w:eastAsia="Calibri" w:hAnsi="Times New Roman" w:cs="Times New Roman"/>
                <w:lang w:val="lt-LT"/>
              </w:rPr>
              <w:t xml:space="preserve"> kt. turi būti keičiamos kitomis, ne brangesnėmis ir ne blogesnių savybių, medžiagomis, įranga, prekėmis, nes jos negaminamos (neparduodamos) ir pateikiami tai įrodantys dokumentai. </w:t>
            </w:r>
          </w:p>
          <w:p w14:paraId="546CBD24" w14:textId="067C5B87" w:rsidR="00700DD6" w:rsidRPr="001A44AD" w:rsidRDefault="00700DD6" w:rsidP="008D02B6">
            <w:pPr>
              <w:jc w:val="both"/>
              <w:rPr>
                <w:rFonts w:eastAsia="Calibri"/>
                <w:sz w:val="22"/>
                <w:szCs w:val="22"/>
              </w:rPr>
            </w:pPr>
          </w:p>
          <w:p w14:paraId="52CF70F5" w14:textId="5AB15ABC" w:rsidR="002F11C8" w:rsidRPr="001A44AD" w:rsidRDefault="008D02B6" w:rsidP="002F11C8">
            <w:pPr>
              <w:jc w:val="both"/>
              <w:rPr>
                <w:rFonts w:eastAsia="Calibri"/>
                <w:sz w:val="22"/>
                <w:szCs w:val="22"/>
              </w:rPr>
            </w:pPr>
            <w:r w:rsidRPr="001A44AD">
              <w:rPr>
                <w:rFonts w:eastAsia="Calibri"/>
                <w:sz w:val="22"/>
                <w:szCs w:val="22"/>
              </w:rPr>
              <w:t xml:space="preserve">b) </w:t>
            </w:r>
            <w:r w:rsidR="002F11C8" w:rsidRPr="001A44AD">
              <w:rPr>
                <w:rFonts w:eastAsia="Calibri"/>
                <w:sz w:val="22"/>
                <w:szCs w:val="22"/>
              </w:rPr>
              <w:t xml:space="preserve">būtina iš Rangovo pirkti </w:t>
            </w:r>
            <w:r w:rsidR="00C46FD2">
              <w:rPr>
                <w:rFonts w:eastAsia="Calibri"/>
                <w:sz w:val="22"/>
                <w:szCs w:val="22"/>
              </w:rPr>
              <w:t>papildomų</w:t>
            </w:r>
            <w:r w:rsidR="002F11C8" w:rsidRPr="001A44AD">
              <w:rPr>
                <w:rFonts w:eastAsia="Calibri"/>
                <w:sz w:val="22"/>
                <w:szCs w:val="22"/>
              </w:rPr>
              <w:t xml:space="preserve"> </w:t>
            </w:r>
            <w:r w:rsidRPr="001A44AD">
              <w:rPr>
                <w:rFonts w:eastAsia="Calibri"/>
                <w:sz w:val="22"/>
                <w:szCs w:val="22"/>
              </w:rPr>
              <w:t>darbų, kurie nebuvo įtraukti į</w:t>
            </w:r>
            <w:r w:rsidR="00135D43" w:rsidRPr="001A44AD">
              <w:rPr>
                <w:rFonts w:eastAsia="Calibri"/>
                <w:sz w:val="22"/>
                <w:szCs w:val="22"/>
              </w:rPr>
              <w:t xml:space="preserve"> pirminį</w:t>
            </w:r>
            <w:r w:rsidRPr="001A44AD">
              <w:rPr>
                <w:rFonts w:eastAsia="Calibri"/>
                <w:sz w:val="22"/>
                <w:szCs w:val="22"/>
              </w:rPr>
              <w:t xml:space="preserve"> </w:t>
            </w:r>
            <w:r w:rsidR="002F11C8" w:rsidRPr="001A44AD">
              <w:rPr>
                <w:rFonts w:eastAsia="Calibri"/>
                <w:sz w:val="22"/>
                <w:szCs w:val="22"/>
              </w:rPr>
              <w:t>pirkimą, kai yra visos šios sąlygos kartu:</w:t>
            </w:r>
          </w:p>
          <w:p w14:paraId="7B2D3C7E" w14:textId="77777777" w:rsidR="008D02B6" w:rsidRPr="001A44AD" w:rsidRDefault="008D02B6" w:rsidP="002F11C8">
            <w:pPr>
              <w:jc w:val="both"/>
              <w:rPr>
                <w:rFonts w:eastAsia="Calibri"/>
                <w:sz w:val="22"/>
                <w:szCs w:val="22"/>
              </w:rPr>
            </w:pPr>
          </w:p>
          <w:p w14:paraId="1176B7A5"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126FF0D0"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lastRenderedPageBreak/>
              <w:t>atskiro pakeitimo vertė neviršija 50 procentų, o bendra atskirų pakeitimų pagal šį punktą vertė – 100 procentų Pradinės Sutarties vertės;</w:t>
            </w:r>
          </w:p>
          <w:p w14:paraId="6B76140E" w14:textId="77777777" w:rsidR="002F11C8" w:rsidRPr="001A44AD" w:rsidRDefault="008D02B6" w:rsidP="002F11C8">
            <w:pPr>
              <w:jc w:val="both"/>
              <w:rPr>
                <w:rFonts w:eastAsia="Calibri"/>
                <w:sz w:val="22"/>
                <w:szCs w:val="22"/>
              </w:rPr>
            </w:pPr>
            <w:r w:rsidRPr="001A44AD">
              <w:rPr>
                <w:rFonts w:eastAsia="Calibri"/>
                <w:sz w:val="22"/>
                <w:szCs w:val="22"/>
              </w:rPr>
              <w:t xml:space="preserve">c) </w:t>
            </w:r>
            <w:r w:rsidR="002F11C8" w:rsidRPr="001A44AD">
              <w:rPr>
                <w:rFonts w:eastAsia="Calibri"/>
                <w:sz w:val="22"/>
                <w:szCs w:val="22"/>
              </w:rPr>
              <w:t>kai kiekio (apimties) keitimo poreikis atsirado dėl aplinkybių, kurių protingas ir apdairus Užsakovas negalėjo numatyti, ir kai kartu yra visos šios sąlygos:</w:t>
            </w:r>
          </w:p>
          <w:p w14:paraId="2BEC5BA4" w14:textId="77777777" w:rsidR="008D02B6" w:rsidRPr="001A44AD" w:rsidRDefault="008D02B6" w:rsidP="002F11C8">
            <w:pPr>
              <w:jc w:val="both"/>
              <w:rPr>
                <w:rFonts w:eastAsia="Calibri"/>
                <w:sz w:val="22"/>
                <w:szCs w:val="22"/>
              </w:rPr>
            </w:pPr>
          </w:p>
          <w:p w14:paraId="2584747A"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pakeitimas iš esmės nepakeičia Sutarties pobūdžio;</w:t>
            </w:r>
          </w:p>
          <w:p w14:paraId="65753440"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5C626379"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458F0C32" w14:textId="1E8030C2" w:rsidR="002F11C8" w:rsidRPr="001A44AD" w:rsidRDefault="00135D43" w:rsidP="002F11C8">
            <w:pPr>
              <w:jc w:val="both"/>
              <w:rPr>
                <w:rFonts w:eastAsia="Calibri"/>
                <w:sz w:val="22"/>
                <w:szCs w:val="22"/>
              </w:rPr>
            </w:pPr>
            <w:r w:rsidRPr="001A44AD">
              <w:rPr>
                <w:rFonts w:eastAsia="Calibri"/>
                <w:sz w:val="22"/>
                <w:szCs w:val="22"/>
              </w:rPr>
              <w:t xml:space="preserve">d) </w:t>
            </w:r>
            <w:r w:rsidR="002F11C8" w:rsidRPr="001A44AD">
              <w:rPr>
                <w:rFonts w:eastAsia="Calibri"/>
                <w:sz w:val="22"/>
                <w:szCs w:val="22"/>
              </w:rPr>
              <w:t xml:space="preserve">kai kiekio (apimties) keitimas, neatsižvelgiant į jo vertę, nėra esminis, kaip nustatyta </w:t>
            </w:r>
            <w:r w:rsidRPr="001A44AD">
              <w:rPr>
                <w:rFonts w:eastAsia="Calibri"/>
                <w:sz w:val="22"/>
                <w:szCs w:val="22"/>
              </w:rPr>
              <w:t>PĮ</w:t>
            </w:r>
            <w:r w:rsidR="002F11C8" w:rsidRPr="001A44AD">
              <w:rPr>
                <w:rFonts w:eastAsia="Calibri"/>
                <w:sz w:val="22"/>
                <w:szCs w:val="22"/>
              </w:rPr>
              <w:t xml:space="preserve"> 97 straipsnio 4 dalyje;</w:t>
            </w:r>
          </w:p>
          <w:p w14:paraId="1BD3C1F1" w14:textId="77777777" w:rsidR="007B59DF" w:rsidRPr="001A44AD" w:rsidRDefault="007B59DF" w:rsidP="002F11C8">
            <w:pPr>
              <w:jc w:val="both"/>
              <w:rPr>
                <w:rFonts w:eastAsia="Calibri"/>
                <w:sz w:val="22"/>
                <w:szCs w:val="22"/>
              </w:rPr>
            </w:pPr>
          </w:p>
        </w:tc>
      </w:tr>
      <w:tr w:rsidR="007B59DF" w:rsidRPr="001A44AD" w14:paraId="6F13254B"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BD98E52" w14:textId="77777777" w:rsidR="007B59DF" w:rsidRPr="001A44AD" w:rsidRDefault="007B59DF" w:rsidP="007B59DF">
            <w:pPr>
              <w:autoSpaceDN w:val="0"/>
              <w:rPr>
                <w:b/>
                <w:sz w:val="22"/>
                <w:szCs w:val="22"/>
              </w:rPr>
            </w:pPr>
            <w:r w:rsidRPr="001A44AD">
              <w:rPr>
                <w:b/>
                <w:sz w:val="22"/>
                <w:szCs w:val="22"/>
              </w:rPr>
              <w:lastRenderedPageBreak/>
              <w:t>13.3 punktas</w:t>
            </w:r>
          </w:p>
        </w:tc>
        <w:tc>
          <w:tcPr>
            <w:tcW w:w="8675" w:type="dxa"/>
            <w:tcBorders>
              <w:top w:val="single" w:sz="4" w:space="0" w:color="auto"/>
              <w:left w:val="single" w:sz="4" w:space="0" w:color="auto"/>
              <w:bottom w:val="single" w:sz="4" w:space="0" w:color="auto"/>
              <w:right w:val="single" w:sz="4" w:space="0" w:color="auto"/>
            </w:tcBorders>
            <w:hideMark/>
          </w:tcPr>
          <w:p w14:paraId="1435CD56" w14:textId="77777777" w:rsidR="007B59DF" w:rsidRPr="001A44AD" w:rsidRDefault="007B59DF" w:rsidP="007B59DF">
            <w:pPr>
              <w:autoSpaceDN w:val="0"/>
              <w:rPr>
                <w:b/>
                <w:color w:val="000000"/>
                <w:sz w:val="22"/>
                <w:szCs w:val="22"/>
              </w:rPr>
            </w:pPr>
            <w:bookmarkStart w:id="66" w:name="pakeitimu_tvarka_13_3"/>
            <w:r w:rsidRPr="001A44AD">
              <w:rPr>
                <w:b/>
                <w:color w:val="000000"/>
                <w:sz w:val="22"/>
                <w:szCs w:val="22"/>
              </w:rPr>
              <w:t>Pakeitimų tvarka</w:t>
            </w:r>
            <w:bookmarkEnd w:id="66"/>
          </w:p>
        </w:tc>
      </w:tr>
      <w:tr w:rsidR="007B59DF" w:rsidRPr="001A44AD" w14:paraId="3561EF93"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C8AB245"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7FE5DD00" w14:textId="77777777" w:rsidR="00911905" w:rsidRPr="001A44AD" w:rsidRDefault="00911905" w:rsidP="007B59DF">
            <w:pPr>
              <w:jc w:val="both"/>
              <w:rPr>
                <w:rFonts w:eastAsia="Calibri"/>
                <w:b/>
                <w:i/>
                <w:sz w:val="22"/>
                <w:szCs w:val="22"/>
                <w:lang w:eastAsia="en-US"/>
              </w:rPr>
            </w:pPr>
          </w:p>
          <w:p w14:paraId="305C4455" w14:textId="77777777" w:rsidR="007B59DF" w:rsidRPr="001A44AD" w:rsidRDefault="00911905" w:rsidP="007B59DF">
            <w:pPr>
              <w:jc w:val="both"/>
              <w:rPr>
                <w:rFonts w:eastAsia="Calibri"/>
                <w:b/>
                <w:i/>
                <w:sz w:val="22"/>
                <w:szCs w:val="22"/>
                <w:lang w:eastAsia="en-US"/>
              </w:rPr>
            </w:pPr>
            <w:r w:rsidRPr="001A44AD">
              <w:rPr>
                <w:rFonts w:eastAsia="Calibri"/>
                <w:b/>
                <w:i/>
                <w:sz w:val="22"/>
                <w:szCs w:val="22"/>
                <w:lang w:eastAsia="en-US"/>
              </w:rPr>
              <w:t xml:space="preserve">Papildyti 13.3 punkto pirmoje pastraipoje įterpti: </w:t>
            </w:r>
          </w:p>
          <w:p w14:paraId="5EB64A1E" w14:textId="77777777" w:rsidR="00911905" w:rsidRPr="001A44AD" w:rsidRDefault="00911905" w:rsidP="007B59DF">
            <w:pPr>
              <w:jc w:val="both"/>
              <w:rPr>
                <w:rFonts w:eastAsia="Calibri"/>
                <w:b/>
                <w:i/>
                <w:sz w:val="22"/>
                <w:szCs w:val="22"/>
                <w:lang w:eastAsia="en-US"/>
              </w:rPr>
            </w:pPr>
          </w:p>
          <w:p w14:paraId="1246478E" w14:textId="65384F3B" w:rsidR="007B59DF" w:rsidRPr="001A44AD" w:rsidRDefault="00911905" w:rsidP="007B59DF">
            <w:pPr>
              <w:jc w:val="both"/>
              <w:rPr>
                <w:sz w:val="22"/>
                <w:szCs w:val="22"/>
              </w:rPr>
            </w:pPr>
            <w:r w:rsidRPr="001A44AD">
              <w:rPr>
                <w:sz w:val="22"/>
                <w:szCs w:val="22"/>
              </w:rPr>
              <w:t xml:space="preserve">Pakeitimai įforminami atliekant Sutarties </w:t>
            </w:r>
            <w:r w:rsidR="00C46FD2">
              <w:rPr>
                <w:sz w:val="22"/>
                <w:szCs w:val="22"/>
              </w:rPr>
              <w:t>Pakeitimą, kurį</w:t>
            </w:r>
            <w:r w:rsidRPr="001A44AD">
              <w:rPr>
                <w:sz w:val="22"/>
                <w:szCs w:val="22"/>
              </w:rPr>
              <w:t xml:space="preserve"> pasirašo</w:t>
            </w:r>
            <w:r w:rsidR="007B59DF" w:rsidRPr="001A44AD">
              <w:rPr>
                <w:sz w:val="22"/>
                <w:szCs w:val="22"/>
              </w:rPr>
              <w:t xml:space="preserve"> Inžinierius</w:t>
            </w:r>
            <w:r w:rsidRPr="001A44AD">
              <w:rPr>
                <w:sz w:val="22"/>
                <w:szCs w:val="22"/>
              </w:rPr>
              <w:t>, R</w:t>
            </w:r>
            <w:r w:rsidR="007B59DF" w:rsidRPr="001A44AD">
              <w:rPr>
                <w:sz w:val="22"/>
                <w:szCs w:val="22"/>
              </w:rPr>
              <w:t>angov</w:t>
            </w:r>
            <w:r w:rsidRPr="001A44AD">
              <w:rPr>
                <w:sz w:val="22"/>
                <w:szCs w:val="22"/>
              </w:rPr>
              <w:t>as ir</w:t>
            </w:r>
            <w:r w:rsidR="007B59DF" w:rsidRPr="001A44AD">
              <w:rPr>
                <w:sz w:val="22"/>
                <w:szCs w:val="22"/>
              </w:rPr>
              <w:t xml:space="preserve"> Užsakov</w:t>
            </w:r>
            <w:r w:rsidRPr="001A44AD">
              <w:rPr>
                <w:sz w:val="22"/>
                <w:szCs w:val="22"/>
              </w:rPr>
              <w:t>as</w:t>
            </w:r>
            <w:r w:rsidR="007B59DF" w:rsidRPr="001A44AD">
              <w:rPr>
                <w:sz w:val="22"/>
                <w:szCs w:val="22"/>
              </w:rPr>
              <w:t xml:space="preserve">. </w:t>
            </w:r>
          </w:p>
          <w:p w14:paraId="2D33C038" w14:textId="77777777" w:rsidR="007B59DF" w:rsidRPr="001A44AD" w:rsidRDefault="007B59DF" w:rsidP="007B59DF">
            <w:pPr>
              <w:jc w:val="both"/>
              <w:rPr>
                <w:sz w:val="22"/>
                <w:szCs w:val="22"/>
              </w:rPr>
            </w:pPr>
          </w:p>
        </w:tc>
      </w:tr>
      <w:tr w:rsidR="007B59DF" w:rsidRPr="001A44AD" w14:paraId="2147D2FB"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09309BF8" w14:textId="77777777" w:rsidR="007B59DF" w:rsidRPr="001A44AD" w:rsidRDefault="00B2224D" w:rsidP="007B59DF">
            <w:pPr>
              <w:autoSpaceDN w:val="0"/>
              <w:rPr>
                <w:b/>
                <w:sz w:val="22"/>
                <w:szCs w:val="22"/>
              </w:rPr>
            </w:pPr>
            <w:r w:rsidRPr="001A44AD">
              <w:rPr>
                <w:b/>
                <w:sz w:val="22"/>
                <w:szCs w:val="22"/>
              </w:rPr>
              <w:t>13.7</w:t>
            </w:r>
            <w:r w:rsidR="007B59DF" w:rsidRPr="001A44AD">
              <w:rPr>
                <w:b/>
                <w:sz w:val="22"/>
                <w:szCs w:val="22"/>
              </w:rPr>
              <w:t xml:space="preserve"> punktas</w:t>
            </w:r>
          </w:p>
        </w:tc>
        <w:tc>
          <w:tcPr>
            <w:tcW w:w="8675" w:type="dxa"/>
            <w:tcBorders>
              <w:top w:val="single" w:sz="4" w:space="0" w:color="auto"/>
              <w:left w:val="single" w:sz="4" w:space="0" w:color="auto"/>
              <w:bottom w:val="single" w:sz="4" w:space="0" w:color="auto"/>
              <w:right w:val="single" w:sz="4" w:space="0" w:color="auto"/>
            </w:tcBorders>
            <w:hideMark/>
          </w:tcPr>
          <w:p w14:paraId="28DC2A19" w14:textId="77777777" w:rsidR="007B59DF" w:rsidRPr="001A44AD" w:rsidRDefault="00B2224D" w:rsidP="007B59DF">
            <w:pPr>
              <w:autoSpaceDN w:val="0"/>
              <w:jc w:val="both"/>
              <w:rPr>
                <w:b/>
                <w:color w:val="000000"/>
                <w:sz w:val="22"/>
                <w:szCs w:val="22"/>
              </w:rPr>
            </w:pPr>
            <w:r w:rsidRPr="001A44AD">
              <w:rPr>
                <w:b/>
                <w:color w:val="000000"/>
                <w:sz w:val="22"/>
                <w:szCs w:val="22"/>
              </w:rPr>
              <w:t>Korekcijos dėl pokyčių išlaidose</w:t>
            </w:r>
          </w:p>
        </w:tc>
      </w:tr>
      <w:tr w:rsidR="007B59DF" w:rsidRPr="001A44AD" w14:paraId="2CBFFEFF"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B75AF1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4CCBD3C3" w14:textId="77777777" w:rsidR="000C490C" w:rsidRPr="001A44AD" w:rsidRDefault="000C490C" w:rsidP="007B59DF">
            <w:pPr>
              <w:jc w:val="both"/>
              <w:rPr>
                <w:rFonts w:eastAsia="Calibri"/>
                <w:b/>
                <w:i/>
                <w:sz w:val="22"/>
                <w:szCs w:val="22"/>
                <w:lang w:eastAsia="en-US"/>
              </w:rPr>
            </w:pPr>
          </w:p>
          <w:p w14:paraId="4287ACB7" w14:textId="77777777" w:rsidR="007B59DF" w:rsidRPr="001A44AD" w:rsidRDefault="007B59DF" w:rsidP="007B59DF">
            <w:pPr>
              <w:jc w:val="both"/>
              <w:rPr>
                <w:rFonts w:eastAsia="Calibri"/>
                <w:b/>
                <w:i/>
                <w:sz w:val="22"/>
                <w:szCs w:val="22"/>
                <w:lang w:eastAsia="en-US"/>
              </w:rPr>
            </w:pPr>
            <w:r w:rsidRPr="001A44AD">
              <w:rPr>
                <w:rFonts w:eastAsia="Calibri"/>
                <w:b/>
                <w:i/>
                <w:sz w:val="22"/>
                <w:szCs w:val="22"/>
                <w:lang w:eastAsia="en-US"/>
              </w:rPr>
              <w:t>Pakeisti 13.</w:t>
            </w:r>
            <w:r w:rsidR="00B2224D" w:rsidRPr="001A44AD">
              <w:rPr>
                <w:rFonts w:eastAsia="Calibri"/>
                <w:b/>
                <w:i/>
                <w:sz w:val="22"/>
                <w:szCs w:val="22"/>
                <w:lang w:eastAsia="en-US"/>
              </w:rPr>
              <w:t>7</w:t>
            </w:r>
            <w:r w:rsidRPr="001A44AD">
              <w:rPr>
                <w:rFonts w:eastAsia="Calibri"/>
                <w:b/>
                <w:i/>
                <w:sz w:val="22"/>
                <w:szCs w:val="22"/>
                <w:lang w:eastAsia="en-US"/>
              </w:rPr>
              <w:t xml:space="preserve"> </w:t>
            </w:r>
            <w:r w:rsidR="00B2224D" w:rsidRPr="001A44AD">
              <w:rPr>
                <w:rFonts w:eastAsia="Calibri"/>
                <w:b/>
                <w:i/>
                <w:sz w:val="22"/>
                <w:szCs w:val="22"/>
                <w:lang w:eastAsia="en-US"/>
              </w:rPr>
              <w:t>punktą ir išdėstyti jį taip:</w:t>
            </w:r>
          </w:p>
          <w:p w14:paraId="69F9D041" w14:textId="77777777" w:rsidR="00B2224D" w:rsidRPr="001A44AD" w:rsidRDefault="00B2224D" w:rsidP="007B59DF">
            <w:pPr>
              <w:jc w:val="both"/>
              <w:rPr>
                <w:color w:val="000000"/>
                <w:sz w:val="22"/>
                <w:szCs w:val="22"/>
              </w:rPr>
            </w:pPr>
          </w:p>
          <w:p w14:paraId="2FB73D68" w14:textId="77777777" w:rsidR="007B59DF" w:rsidRPr="001A44AD" w:rsidRDefault="00D855A7" w:rsidP="007B59DF">
            <w:pPr>
              <w:autoSpaceDN w:val="0"/>
              <w:jc w:val="both"/>
              <w:rPr>
                <w:color w:val="000000"/>
                <w:sz w:val="22"/>
                <w:szCs w:val="22"/>
              </w:rPr>
            </w:pPr>
            <w:r w:rsidRPr="001A44AD">
              <w:rPr>
                <w:color w:val="000000"/>
                <w:sz w:val="22"/>
                <w:szCs w:val="22"/>
              </w:rPr>
              <w:t>Visais atvejais, Įstatymais pakeitus pridėtinės vertės mokesčio (PVM) dydį arba mokėjimo tvarką, tokie pakeitimai turi būti taikomi toms PVM sąskaitoms faktūroms, kurias Rangovas sudaro po tokių pakeitimų įsigaliojimo, be atskiro Šalių susitarimo. Tokiu atveju Sutarties kaina be PVM nekeičiama.</w:t>
            </w:r>
          </w:p>
          <w:p w14:paraId="23BB98EC" w14:textId="77777777" w:rsidR="00D855A7" w:rsidRPr="001A44AD" w:rsidRDefault="00D855A7" w:rsidP="007B59DF">
            <w:pPr>
              <w:autoSpaceDN w:val="0"/>
              <w:jc w:val="both"/>
              <w:rPr>
                <w:b/>
                <w:color w:val="000000"/>
                <w:sz w:val="22"/>
                <w:szCs w:val="22"/>
              </w:rPr>
            </w:pPr>
          </w:p>
          <w:p w14:paraId="6EE65CEA" w14:textId="77777777" w:rsidR="00B15BC9" w:rsidRPr="001A44AD" w:rsidRDefault="00B2224D" w:rsidP="002F11C8">
            <w:pPr>
              <w:widowControl w:val="0"/>
              <w:pBdr>
                <w:top w:val="nil"/>
                <w:left w:val="nil"/>
                <w:bottom w:val="nil"/>
                <w:right w:val="nil"/>
                <w:between w:val="nil"/>
              </w:pBdr>
              <w:tabs>
                <w:tab w:val="left" w:pos="993"/>
              </w:tabs>
              <w:jc w:val="both"/>
              <w:rPr>
                <w:sz w:val="22"/>
                <w:szCs w:val="22"/>
              </w:rPr>
            </w:pPr>
            <w:r w:rsidRPr="001A44AD">
              <w:rPr>
                <w:sz w:val="22"/>
                <w:szCs w:val="22"/>
              </w:rPr>
              <w:t xml:space="preserve">Rangovui mokėtinos sumos koreguojamos </w:t>
            </w:r>
            <w:r w:rsidR="002F11C8" w:rsidRPr="001A44AD">
              <w:rPr>
                <w:sz w:val="22"/>
                <w:szCs w:val="22"/>
              </w:rPr>
              <w:t xml:space="preserve">jeigu Lietuvos Respublikos statistikos departamento (www.stat.gov.lt) kas mėnesį skelbiamo statybos sąnaudų elementų kainų indekso pagal statinių tipą „Inžineriniai tinklai“ (toliau – SSKI) reikšmė pakinta daugiau kaip 5 </w:t>
            </w:r>
            <w:r w:rsidRPr="001A44AD">
              <w:rPr>
                <w:sz w:val="22"/>
                <w:szCs w:val="22"/>
              </w:rPr>
              <w:t xml:space="preserve">(penkiais) </w:t>
            </w:r>
            <w:r w:rsidR="000C490C" w:rsidRPr="001A44AD">
              <w:rPr>
                <w:sz w:val="22"/>
                <w:szCs w:val="22"/>
              </w:rPr>
              <w:t xml:space="preserve">proc., tokia </w:t>
            </w:r>
            <w:r w:rsidR="00B15BC9" w:rsidRPr="001A44AD">
              <w:rPr>
                <w:sz w:val="22"/>
                <w:szCs w:val="22"/>
              </w:rPr>
              <w:t>tvarka:</w:t>
            </w:r>
          </w:p>
          <w:p w14:paraId="16876C47" w14:textId="77777777" w:rsidR="000C490C" w:rsidRPr="001A44AD" w:rsidRDefault="000C490C" w:rsidP="002F11C8">
            <w:pPr>
              <w:widowControl w:val="0"/>
              <w:pBdr>
                <w:top w:val="nil"/>
                <w:left w:val="nil"/>
                <w:bottom w:val="nil"/>
                <w:right w:val="nil"/>
                <w:between w:val="nil"/>
              </w:pBdr>
              <w:tabs>
                <w:tab w:val="left" w:pos="993"/>
              </w:tabs>
              <w:jc w:val="both"/>
              <w:rPr>
                <w:sz w:val="22"/>
                <w:szCs w:val="22"/>
              </w:rPr>
            </w:pPr>
          </w:p>
          <w:p w14:paraId="6451AF97"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a) D</w:t>
            </w:r>
            <w:r w:rsidR="002F11C8" w:rsidRPr="001A44AD">
              <w:rPr>
                <w:sz w:val="22"/>
                <w:szCs w:val="22"/>
              </w:rPr>
              <w:t>arbų įkainiai perskaičiuojami dėl kainų lygio pokyčio juos padauginant iš SSKI pokyčio koeficiento, kuris apskaičiuojamas pagal toliau nurodytą formulę:</w:t>
            </w:r>
          </w:p>
          <w:p w14:paraId="2CCA1EDB" w14:textId="77777777" w:rsidR="000C490C" w:rsidRPr="001A44AD" w:rsidRDefault="000C490C" w:rsidP="002F11C8">
            <w:pPr>
              <w:widowControl w:val="0"/>
              <w:pBdr>
                <w:top w:val="nil"/>
                <w:left w:val="nil"/>
                <w:bottom w:val="nil"/>
                <w:right w:val="nil"/>
                <w:between w:val="nil"/>
              </w:pBdr>
              <w:tabs>
                <w:tab w:val="left" w:pos="993"/>
              </w:tabs>
              <w:jc w:val="both"/>
              <w:rPr>
                <w:sz w:val="22"/>
                <w:szCs w:val="22"/>
              </w:rPr>
            </w:pPr>
          </w:p>
          <w:p w14:paraId="610E79B8"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K = IP</w:t>
            </w:r>
            <w:r w:rsidRPr="001A44AD">
              <w:rPr>
                <w:sz w:val="22"/>
                <w:szCs w:val="22"/>
                <w:vertAlign w:val="subscript"/>
              </w:rPr>
              <w:t>b</w:t>
            </w:r>
            <w:r w:rsidRPr="001A44AD">
              <w:rPr>
                <w:sz w:val="22"/>
                <w:szCs w:val="22"/>
              </w:rPr>
              <w:t xml:space="preserve"> / IP</w:t>
            </w:r>
            <w:r w:rsidRPr="001A44AD">
              <w:rPr>
                <w:sz w:val="22"/>
                <w:szCs w:val="22"/>
                <w:vertAlign w:val="subscript"/>
              </w:rPr>
              <w:t>r</w:t>
            </w:r>
            <w:r w:rsidRPr="001A44AD">
              <w:rPr>
                <w:sz w:val="22"/>
                <w:szCs w:val="22"/>
              </w:rPr>
              <w:t>, kur:</w:t>
            </w:r>
            <w:r w:rsidRPr="001A44AD">
              <w:rPr>
                <w:sz w:val="22"/>
                <w:szCs w:val="22"/>
              </w:rPr>
              <w:tab/>
            </w:r>
          </w:p>
          <w:p w14:paraId="03607099"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K – SSKI pokyčio koeficientas;</w:t>
            </w:r>
          </w:p>
          <w:p w14:paraId="25CC4E83"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IP</w:t>
            </w:r>
            <w:r w:rsidRPr="001A44AD">
              <w:rPr>
                <w:sz w:val="22"/>
                <w:szCs w:val="22"/>
                <w:vertAlign w:val="subscript"/>
              </w:rPr>
              <w:t>r</w:t>
            </w:r>
            <w:r w:rsidRPr="001A44AD">
              <w:rPr>
                <w:sz w:val="22"/>
                <w:szCs w:val="22"/>
              </w:rPr>
              <w:t xml:space="preserve"> – SSKI reikšmė laikotarpio pradžioje;</w:t>
            </w:r>
          </w:p>
          <w:p w14:paraId="29ECC285"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IP</w:t>
            </w:r>
            <w:r w:rsidRPr="001A44AD">
              <w:rPr>
                <w:sz w:val="22"/>
                <w:szCs w:val="22"/>
                <w:vertAlign w:val="subscript"/>
              </w:rPr>
              <w:t>b</w:t>
            </w:r>
            <w:r w:rsidRPr="001A44AD">
              <w:rPr>
                <w:sz w:val="22"/>
                <w:szCs w:val="22"/>
              </w:rPr>
              <w:t xml:space="preserve"> – SSKI reikšmė laikotarpio pabaigoje.</w:t>
            </w:r>
          </w:p>
          <w:p w14:paraId="7AEF345E"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45B8E200"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 xml:space="preserve">b) </w:t>
            </w:r>
            <w:r w:rsidR="00D855A7" w:rsidRPr="001A44AD">
              <w:rPr>
                <w:sz w:val="22"/>
                <w:szCs w:val="22"/>
              </w:rPr>
              <w:t>Darbų įkainiai perskaičiuojami</w:t>
            </w:r>
            <w:r w:rsidR="002F11C8" w:rsidRPr="001A44AD">
              <w:rPr>
                <w:sz w:val="22"/>
                <w:szCs w:val="22"/>
              </w:rPr>
              <w:t xml:space="preserve"> pagal žemiau pateiktą formulę:</w:t>
            </w:r>
          </w:p>
          <w:p w14:paraId="60C2EA8C" w14:textId="77777777" w:rsidR="002F11C8" w:rsidRPr="001A44AD" w:rsidRDefault="002F11C8" w:rsidP="00B15BC9">
            <w:pPr>
              <w:widowControl w:val="0"/>
              <w:pBdr>
                <w:top w:val="nil"/>
                <w:left w:val="nil"/>
                <w:bottom w:val="nil"/>
                <w:right w:val="nil"/>
                <w:between w:val="nil"/>
              </w:pBdr>
              <w:tabs>
                <w:tab w:val="left" w:pos="993"/>
              </w:tabs>
              <w:ind w:left="720"/>
              <w:jc w:val="both"/>
              <w:rPr>
                <w:sz w:val="22"/>
                <w:szCs w:val="22"/>
              </w:rPr>
            </w:pPr>
            <w:r w:rsidRPr="001A44AD">
              <w:rPr>
                <w:sz w:val="22"/>
                <w:szCs w:val="22"/>
              </w:rPr>
              <w:t>C</w:t>
            </w:r>
            <w:r w:rsidRPr="001A44AD">
              <w:rPr>
                <w:sz w:val="22"/>
                <w:szCs w:val="22"/>
                <w:vertAlign w:val="subscript"/>
              </w:rPr>
              <w:t>pn</w:t>
            </w:r>
            <w:r w:rsidRPr="001A44AD">
              <w:rPr>
                <w:sz w:val="22"/>
                <w:szCs w:val="22"/>
              </w:rPr>
              <w:t xml:space="preserve"> = S</w:t>
            </w:r>
            <w:r w:rsidRPr="001A44AD">
              <w:rPr>
                <w:sz w:val="22"/>
                <w:szCs w:val="22"/>
                <w:vertAlign w:val="subscript"/>
              </w:rPr>
              <w:t>n</w:t>
            </w:r>
            <w:r w:rsidRPr="001A44AD">
              <w:rPr>
                <w:sz w:val="22"/>
                <w:szCs w:val="22"/>
              </w:rPr>
              <w:t xml:space="preserve"> x(1+ K/100), kur </w:t>
            </w:r>
          </w:p>
          <w:p w14:paraId="30ACE0D1"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C</w:t>
            </w:r>
            <w:r w:rsidRPr="001A44AD">
              <w:rPr>
                <w:sz w:val="22"/>
                <w:szCs w:val="22"/>
                <w:vertAlign w:val="subscript"/>
              </w:rPr>
              <w:t>pn</w:t>
            </w:r>
            <w:r w:rsidR="00D855A7" w:rsidRPr="001A44AD">
              <w:rPr>
                <w:sz w:val="22"/>
                <w:szCs w:val="22"/>
              </w:rPr>
              <w:t xml:space="preserve"> – perskaičiuotas</w:t>
            </w:r>
            <w:r w:rsidRPr="001A44AD">
              <w:rPr>
                <w:sz w:val="22"/>
                <w:szCs w:val="22"/>
              </w:rPr>
              <w:t xml:space="preserve"> </w:t>
            </w:r>
            <w:r w:rsidR="00DB6EBB" w:rsidRPr="001A44AD">
              <w:rPr>
                <w:sz w:val="22"/>
                <w:szCs w:val="22"/>
              </w:rPr>
              <w:t>įkainis</w:t>
            </w:r>
            <w:r w:rsidRPr="001A44AD">
              <w:rPr>
                <w:sz w:val="22"/>
                <w:szCs w:val="22"/>
              </w:rPr>
              <w:t>;</w:t>
            </w:r>
          </w:p>
          <w:p w14:paraId="7339713D"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S</w:t>
            </w:r>
            <w:r w:rsidRPr="001A44AD">
              <w:rPr>
                <w:sz w:val="22"/>
                <w:szCs w:val="22"/>
                <w:vertAlign w:val="subscript"/>
              </w:rPr>
              <w:t>n</w:t>
            </w:r>
            <w:r w:rsidRPr="001A44AD">
              <w:rPr>
                <w:sz w:val="22"/>
                <w:szCs w:val="22"/>
              </w:rPr>
              <w:t xml:space="preserve"> - Sutartyje numatytas </w:t>
            </w:r>
            <w:r w:rsidR="00D855A7" w:rsidRPr="001A44AD">
              <w:rPr>
                <w:sz w:val="22"/>
                <w:szCs w:val="22"/>
              </w:rPr>
              <w:t>į</w:t>
            </w:r>
            <w:r w:rsidR="00DB6EBB" w:rsidRPr="001A44AD">
              <w:rPr>
                <w:sz w:val="22"/>
                <w:szCs w:val="22"/>
              </w:rPr>
              <w:t>kainis</w:t>
            </w:r>
            <w:r w:rsidRPr="001A44AD">
              <w:rPr>
                <w:sz w:val="22"/>
                <w:szCs w:val="22"/>
              </w:rPr>
              <w:t>;</w:t>
            </w:r>
          </w:p>
          <w:p w14:paraId="7DBA1DA7"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K – SSKI pokyčio koeficientas;</w:t>
            </w:r>
          </w:p>
          <w:p w14:paraId="68109078" w14:textId="77777777" w:rsidR="00B15BC9" w:rsidRPr="001A44AD" w:rsidRDefault="00B15BC9" w:rsidP="00B15BC9">
            <w:pPr>
              <w:widowControl w:val="0"/>
              <w:pBdr>
                <w:top w:val="nil"/>
                <w:left w:val="nil"/>
                <w:bottom w:val="nil"/>
                <w:right w:val="nil"/>
                <w:between w:val="nil"/>
              </w:pBdr>
              <w:tabs>
                <w:tab w:val="left" w:pos="993"/>
              </w:tabs>
              <w:ind w:left="720"/>
              <w:jc w:val="both"/>
              <w:rPr>
                <w:sz w:val="22"/>
                <w:szCs w:val="22"/>
              </w:rPr>
            </w:pPr>
          </w:p>
          <w:p w14:paraId="5E832EB9"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c)</w:t>
            </w:r>
            <w:r w:rsidR="002F11C8" w:rsidRPr="001A44AD">
              <w:rPr>
                <w:sz w:val="22"/>
                <w:szCs w:val="22"/>
              </w:rPr>
              <w:t xml:space="preserve"> Laikotarpis yra bet koks laikotarpis, kurio pradžia yra ne ankst</w:t>
            </w:r>
            <w:r w:rsidRPr="001A44AD">
              <w:rPr>
                <w:sz w:val="22"/>
                <w:szCs w:val="22"/>
              </w:rPr>
              <w:t xml:space="preserve">esnė, negu pasiūlymų pateikimo </w:t>
            </w:r>
            <w:r w:rsidRPr="001A44AD">
              <w:rPr>
                <w:sz w:val="22"/>
                <w:szCs w:val="22"/>
              </w:rPr>
              <w:lastRenderedPageBreak/>
              <w:t>p</w:t>
            </w:r>
            <w:r w:rsidR="002F11C8" w:rsidRPr="001A44AD">
              <w:rPr>
                <w:sz w:val="22"/>
                <w:szCs w:val="22"/>
              </w:rPr>
              <w:t xml:space="preserve">irkime termino (t. y. pirkimo dokumentuose nustatyta pasiūlymo pateikimo data) pabaigos mėnuo ir ne vėlesnė, negu paskutiniojo </w:t>
            </w:r>
            <w:r w:rsidRPr="001A44AD">
              <w:rPr>
                <w:sz w:val="22"/>
                <w:szCs w:val="22"/>
              </w:rPr>
              <w:t>atliktų D</w:t>
            </w:r>
            <w:r w:rsidR="002F11C8" w:rsidRPr="001A44AD">
              <w:rPr>
                <w:sz w:val="22"/>
                <w:szCs w:val="22"/>
              </w:rPr>
              <w:t>arbų akto pagal Sutartį sudarymo diena. Pvz., jei pasiūlymo pateikimo galutinis terminas pirkimo dokumentuose buvo nurodytas 2021-03-15, pirmą kartą perskaičiuojant įkainius IP</w:t>
            </w:r>
            <w:r w:rsidR="002F11C8" w:rsidRPr="001A44AD">
              <w:rPr>
                <w:sz w:val="22"/>
                <w:szCs w:val="22"/>
                <w:vertAlign w:val="subscript"/>
              </w:rPr>
              <w:t>r</w:t>
            </w:r>
            <w:r w:rsidR="002F11C8" w:rsidRPr="001A44AD">
              <w:rPr>
                <w:sz w:val="22"/>
                <w:szCs w:val="22"/>
              </w:rPr>
              <w:t xml:space="preserve"> (SSKI reikšmė laikotarpio pradžioje) naudojama kovo mėn. SSKI. Tuo atveju, kai, pvz., SSKI pokytis didesnis kaip 5 proc., koeficiento K apskaičiavimui kaip IP</w:t>
            </w:r>
            <w:r w:rsidR="002F11C8" w:rsidRPr="001A44AD">
              <w:rPr>
                <w:sz w:val="22"/>
                <w:szCs w:val="22"/>
                <w:vertAlign w:val="subscript"/>
              </w:rPr>
              <w:t>b</w:t>
            </w:r>
            <w:r w:rsidR="002F11C8" w:rsidRPr="001A44AD">
              <w:rPr>
                <w:sz w:val="22"/>
                <w:szCs w:val="22"/>
              </w:rPr>
              <w:t xml:space="preserve"> (SSKI reikšmė laikotarpio pabaigoje) naudojamas paskutinis tuo metu žinomas indeksas. </w:t>
            </w:r>
          </w:p>
          <w:p w14:paraId="69A454F5"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605C2E77"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d)</w:t>
            </w:r>
            <w:r w:rsidR="00D855A7" w:rsidRPr="001A44AD">
              <w:rPr>
                <w:sz w:val="22"/>
                <w:szCs w:val="22"/>
              </w:rPr>
              <w:t xml:space="preserve"> Šalys privalo sudaryti s</w:t>
            </w:r>
            <w:r w:rsidR="002F11C8" w:rsidRPr="001A44AD">
              <w:rPr>
                <w:sz w:val="22"/>
                <w:szCs w:val="22"/>
              </w:rPr>
              <w:t xml:space="preserve">usitarimą dėl įkainių perskaičiavimo per 10 darbo dienų nuo Šalies prašymo kitai Šaliai perskaičiuoti kainą pateikimo dienos. Šalys privalo </w:t>
            </w:r>
            <w:r w:rsidR="00D855A7" w:rsidRPr="001A44AD">
              <w:rPr>
                <w:sz w:val="22"/>
                <w:szCs w:val="22"/>
              </w:rPr>
              <w:t>s</w:t>
            </w:r>
            <w:r w:rsidR="002F11C8" w:rsidRPr="001A44AD">
              <w:rPr>
                <w:sz w:val="22"/>
                <w:szCs w:val="22"/>
              </w:rPr>
              <w:t>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4B6F87E9"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10BDD914"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e)</w:t>
            </w:r>
            <w:r w:rsidR="002F11C8" w:rsidRPr="001A44AD">
              <w:rPr>
                <w:sz w:val="22"/>
                <w:szCs w:val="22"/>
              </w:rPr>
              <w:t xml:space="preserve"> po to, kai Šalys sudaro Susitarimą dėl kainos perskaičiavimo, perskaičiuota kaina taikomi Statybos d</w:t>
            </w:r>
            <w:r w:rsidRPr="001A44AD">
              <w:rPr>
                <w:sz w:val="22"/>
                <w:szCs w:val="22"/>
              </w:rPr>
              <w:t>arbams, kurie yra įtraukiami į at</w:t>
            </w:r>
            <w:r w:rsidR="002F11C8" w:rsidRPr="001A44AD">
              <w:rPr>
                <w:sz w:val="22"/>
                <w:szCs w:val="22"/>
              </w:rPr>
              <w: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5E3D892A"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arba pateikti atliktų darbų aktą su neperskaičiuota kaina ir perskaičiavimą atlikti kitame atliktų darbų akte;</w:t>
            </w:r>
          </w:p>
          <w:p w14:paraId="79C3F33C"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arba sustabdyti atliktų darbų akto</w:t>
            </w:r>
            <w:r w:rsidRPr="006646EC">
              <w:rPr>
                <w:rFonts w:ascii="Times New Roman" w:hAnsi="Times New Roman" w:cs="Times New Roman"/>
                <w:lang w:val="lt-LT"/>
              </w:rPr>
              <w:t xml:space="preserve"> </w:t>
            </w:r>
            <w:r w:rsidRPr="001A44AD">
              <w:rPr>
                <w:rFonts w:ascii="Times New Roman" w:hAnsi="Times New Roman" w:cs="Times New Roman"/>
                <w:lang w:val="lt-LT"/>
              </w:rPr>
              <w:t>pateikimą iki bus perskaičiuota kaina;</w:t>
            </w:r>
          </w:p>
          <w:p w14:paraId="6D5742F9"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 xml:space="preserve">Sutarties kainos peržiūra atliekama ne dažniau nei kas 6 mėnesiai. </w:t>
            </w:r>
          </w:p>
          <w:p w14:paraId="47B1462A"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vėlesnis kainos perskaičiavimas negali apimti laikotarpio, už kurį jau buvo atliktas perskaičiavimas;</w:t>
            </w:r>
          </w:p>
          <w:p w14:paraId="76DD8EE6" w14:textId="3CA56531" w:rsidR="007B59DF" w:rsidRPr="006646EC"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b/>
                <w:color w:val="000000"/>
                <w:lang w:val="lt-LT"/>
              </w:rPr>
            </w:pPr>
            <w:r w:rsidRPr="001A44AD">
              <w:rPr>
                <w:rFonts w:ascii="Times New Roman" w:hAnsi="Times New Roman" w:cs="Times New Roman"/>
                <w:lang w:val="lt-LT"/>
              </w:rPr>
              <w:t>jeigu Darbai vėluoja dėl Rangovo kaltės kaina neperskaičiuojam</w:t>
            </w:r>
            <w:r w:rsidR="00F267A9">
              <w:rPr>
                <w:rFonts w:ascii="Times New Roman" w:hAnsi="Times New Roman" w:cs="Times New Roman"/>
                <w:lang w:val="lt-LT"/>
              </w:rPr>
              <w:t>a.</w:t>
            </w:r>
          </w:p>
        </w:tc>
      </w:tr>
      <w:tr w:rsidR="007B59DF" w:rsidRPr="001A44AD" w14:paraId="745BD779" w14:textId="77777777" w:rsidTr="00F267A9">
        <w:tc>
          <w:tcPr>
            <w:tcW w:w="10343" w:type="dxa"/>
            <w:gridSpan w:val="3"/>
            <w:tcBorders>
              <w:top w:val="single" w:sz="4" w:space="0" w:color="auto"/>
              <w:left w:val="single" w:sz="4" w:space="0" w:color="auto"/>
              <w:bottom w:val="single" w:sz="4" w:space="0" w:color="auto"/>
              <w:right w:val="single" w:sz="4" w:space="0" w:color="auto"/>
            </w:tcBorders>
          </w:tcPr>
          <w:p w14:paraId="5CA656C6" w14:textId="77777777" w:rsidR="007B59DF" w:rsidRPr="001A44AD" w:rsidRDefault="007B59DF" w:rsidP="007B59DF">
            <w:pPr>
              <w:suppressAutoHyphens/>
              <w:overflowPunct w:val="0"/>
              <w:autoSpaceDE w:val="0"/>
              <w:adjustRightInd w:val="0"/>
              <w:jc w:val="center"/>
              <w:textAlignment w:val="baseline"/>
              <w:rPr>
                <w:sz w:val="22"/>
                <w:szCs w:val="22"/>
                <w:lang w:eastAsia="en-US"/>
              </w:rPr>
            </w:pPr>
            <w:bookmarkStart w:id="67" w:name="_Toc128826836"/>
            <w:bookmarkStart w:id="68" w:name="_Toc140564104"/>
            <w:bookmarkStart w:id="69" w:name="_Toc143077379"/>
            <w:bookmarkStart w:id="70" w:name="_Toc143518401"/>
            <w:bookmarkStart w:id="71" w:name="_Toc143677757"/>
            <w:bookmarkStart w:id="72" w:name="_Toc217377184"/>
            <w:r w:rsidRPr="001A44AD">
              <w:rPr>
                <w:b/>
                <w:sz w:val="22"/>
                <w:szCs w:val="22"/>
                <w:lang w:eastAsia="en-US"/>
              </w:rPr>
              <w:lastRenderedPageBreak/>
              <w:t>14 straipsnis. Sutarties kaina ir mokėjimas</w:t>
            </w:r>
            <w:bookmarkEnd w:id="67"/>
            <w:bookmarkEnd w:id="68"/>
            <w:bookmarkEnd w:id="69"/>
            <w:bookmarkEnd w:id="70"/>
            <w:bookmarkEnd w:id="71"/>
            <w:bookmarkEnd w:id="72"/>
          </w:p>
        </w:tc>
      </w:tr>
      <w:tr w:rsidR="007B59DF" w:rsidRPr="001A44AD" w14:paraId="47B23BA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02662C3B" w14:textId="77777777" w:rsidR="007B59DF" w:rsidRPr="001A44AD" w:rsidRDefault="007B59DF" w:rsidP="007B59DF">
            <w:pPr>
              <w:autoSpaceDN w:val="0"/>
              <w:rPr>
                <w:b/>
                <w:sz w:val="22"/>
                <w:szCs w:val="22"/>
              </w:rPr>
            </w:pPr>
            <w:r w:rsidRPr="001A44AD">
              <w:rPr>
                <w:b/>
                <w:sz w:val="22"/>
                <w:szCs w:val="22"/>
              </w:rPr>
              <w:t>14.2 punktas</w:t>
            </w:r>
          </w:p>
        </w:tc>
        <w:tc>
          <w:tcPr>
            <w:tcW w:w="8675" w:type="dxa"/>
            <w:tcBorders>
              <w:top w:val="single" w:sz="4" w:space="0" w:color="auto"/>
              <w:left w:val="single" w:sz="4" w:space="0" w:color="auto"/>
              <w:bottom w:val="single" w:sz="4" w:space="0" w:color="auto"/>
              <w:right w:val="single" w:sz="4" w:space="0" w:color="auto"/>
            </w:tcBorders>
          </w:tcPr>
          <w:p w14:paraId="24BB7CDF" w14:textId="77777777" w:rsidR="007B59DF" w:rsidRPr="001A44AD" w:rsidRDefault="007B59DF" w:rsidP="007B59DF">
            <w:pPr>
              <w:autoSpaceDN w:val="0"/>
              <w:jc w:val="both"/>
              <w:rPr>
                <w:b/>
                <w:sz w:val="22"/>
                <w:szCs w:val="22"/>
              </w:rPr>
            </w:pPr>
            <w:r w:rsidRPr="001A44AD">
              <w:rPr>
                <w:b/>
                <w:sz w:val="22"/>
                <w:szCs w:val="22"/>
              </w:rPr>
              <w:t>Išankstinis mokėjimas</w:t>
            </w:r>
          </w:p>
        </w:tc>
      </w:tr>
      <w:tr w:rsidR="007B59DF" w:rsidRPr="001A44AD" w14:paraId="3ACB8380"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BA72879"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76C86346" w14:textId="77777777" w:rsidR="00D855A7" w:rsidRPr="001A44AD" w:rsidRDefault="00D855A7" w:rsidP="007B59DF">
            <w:pPr>
              <w:autoSpaceDN w:val="0"/>
              <w:jc w:val="both"/>
              <w:rPr>
                <w:b/>
                <w:i/>
                <w:sz w:val="22"/>
                <w:szCs w:val="22"/>
              </w:rPr>
            </w:pPr>
          </w:p>
          <w:p w14:paraId="009572EA" w14:textId="77777777" w:rsidR="007B59DF" w:rsidRPr="001A44AD" w:rsidRDefault="00D855A7" w:rsidP="007B59DF">
            <w:pPr>
              <w:autoSpaceDN w:val="0"/>
              <w:jc w:val="both"/>
              <w:rPr>
                <w:b/>
                <w:i/>
                <w:sz w:val="22"/>
                <w:szCs w:val="22"/>
              </w:rPr>
            </w:pPr>
            <w:r w:rsidRPr="001A44AD">
              <w:rPr>
                <w:b/>
                <w:i/>
                <w:sz w:val="22"/>
                <w:szCs w:val="22"/>
              </w:rPr>
              <w:t>Pakeisti 14.2. p. pirmą pastraipą ir išdėstyti ją taip:</w:t>
            </w:r>
            <w:r w:rsidR="007B59DF" w:rsidRPr="001A44AD">
              <w:rPr>
                <w:b/>
                <w:i/>
                <w:sz w:val="22"/>
                <w:szCs w:val="22"/>
              </w:rPr>
              <w:t xml:space="preserve"> </w:t>
            </w:r>
          </w:p>
          <w:p w14:paraId="00661F81" w14:textId="77777777" w:rsidR="007B59DF" w:rsidRPr="001A44AD" w:rsidRDefault="007B59DF" w:rsidP="007B59DF">
            <w:pPr>
              <w:autoSpaceDN w:val="0"/>
              <w:jc w:val="both"/>
              <w:rPr>
                <w:b/>
                <w:sz w:val="22"/>
                <w:szCs w:val="22"/>
              </w:rPr>
            </w:pPr>
          </w:p>
          <w:p w14:paraId="68D33695" w14:textId="77777777" w:rsidR="007B59DF" w:rsidRPr="001A44AD" w:rsidRDefault="00D855A7" w:rsidP="00D855A7">
            <w:pPr>
              <w:autoSpaceDN w:val="0"/>
              <w:jc w:val="both"/>
              <w:rPr>
                <w:sz w:val="22"/>
                <w:szCs w:val="22"/>
              </w:rPr>
            </w:pPr>
            <w:r w:rsidRPr="001A44AD">
              <w:rPr>
                <w:sz w:val="22"/>
                <w:szCs w:val="22"/>
              </w:rPr>
              <w:t xml:space="preserve">Rangovas turi teisę prašyti Užsakovo sumokėti visą Konkrečiųjų sutarties sąlygų A dalyje nurodytą avansą arba sumokėti tik dalį avanso. Rangovas, norėdamas gauti avansą ar jo dalį, privalo pateikti Užsakovui prašymą ir avanso grąžinimo užtikrinimą, atitinkantį </w:t>
            </w:r>
            <w:r w:rsidR="002F05CA" w:rsidRPr="001A44AD">
              <w:rPr>
                <w:sz w:val="22"/>
                <w:szCs w:val="22"/>
              </w:rPr>
              <w:t>Konkrečiųjų</w:t>
            </w:r>
            <w:r w:rsidRPr="001A44AD">
              <w:rPr>
                <w:sz w:val="22"/>
                <w:szCs w:val="22"/>
              </w:rPr>
              <w:t xml:space="preserve"> sąlygų B dalies 4.2.3. p. reikalavimus.</w:t>
            </w:r>
          </w:p>
          <w:p w14:paraId="09E1E99B" w14:textId="77777777" w:rsidR="00D855A7" w:rsidRPr="001A44AD" w:rsidRDefault="00D855A7" w:rsidP="00D855A7">
            <w:pPr>
              <w:autoSpaceDN w:val="0"/>
              <w:jc w:val="both"/>
              <w:rPr>
                <w:b/>
                <w:sz w:val="22"/>
                <w:szCs w:val="22"/>
              </w:rPr>
            </w:pPr>
          </w:p>
        </w:tc>
      </w:tr>
      <w:tr w:rsidR="007B59DF" w:rsidRPr="001A44AD" w14:paraId="4DAF3829"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2C809513" w14:textId="77777777" w:rsidR="007B59DF" w:rsidRPr="001A44AD" w:rsidRDefault="007B59DF" w:rsidP="007B59DF">
            <w:pPr>
              <w:autoSpaceDN w:val="0"/>
              <w:rPr>
                <w:b/>
                <w:sz w:val="22"/>
                <w:szCs w:val="22"/>
              </w:rPr>
            </w:pPr>
            <w:r w:rsidRPr="001A44AD">
              <w:rPr>
                <w:b/>
                <w:sz w:val="22"/>
                <w:szCs w:val="22"/>
              </w:rPr>
              <w:t>14.3 punktas</w:t>
            </w:r>
          </w:p>
        </w:tc>
        <w:tc>
          <w:tcPr>
            <w:tcW w:w="8675" w:type="dxa"/>
            <w:tcBorders>
              <w:top w:val="single" w:sz="4" w:space="0" w:color="auto"/>
              <w:left w:val="single" w:sz="4" w:space="0" w:color="auto"/>
              <w:bottom w:val="single" w:sz="4" w:space="0" w:color="auto"/>
              <w:right w:val="single" w:sz="4" w:space="0" w:color="auto"/>
            </w:tcBorders>
            <w:hideMark/>
          </w:tcPr>
          <w:p w14:paraId="5BE3CFFE" w14:textId="77777777" w:rsidR="007B59DF" w:rsidRPr="001A44AD" w:rsidRDefault="00004A92" w:rsidP="007B59DF">
            <w:pPr>
              <w:autoSpaceDN w:val="0"/>
              <w:jc w:val="both"/>
              <w:rPr>
                <w:b/>
                <w:sz w:val="22"/>
                <w:szCs w:val="22"/>
              </w:rPr>
            </w:pPr>
            <w:r w:rsidRPr="001A44AD">
              <w:rPr>
                <w:b/>
                <w:sz w:val="22"/>
                <w:szCs w:val="22"/>
              </w:rPr>
              <w:t>Tarpinio mokėjimo prašymas</w:t>
            </w:r>
          </w:p>
        </w:tc>
      </w:tr>
      <w:tr w:rsidR="007B59DF" w:rsidRPr="001A44AD" w14:paraId="0FDA1A15"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60A6485"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7BF242C" w14:textId="77777777" w:rsidR="00923E64" w:rsidRPr="001A44AD" w:rsidRDefault="00923E64" w:rsidP="007B59DF">
            <w:pPr>
              <w:jc w:val="both"/>
              <w:rPr>
                <w:rFonts w:eastAsia="Calibri"/>
                <w:b/>
                <w:i/>
                <w:sz w:val="22"/>
                <w:szCs w:val="22"/>
                <w:lang w:eastAsia="en-US"/>
              </w:rPr>
            </w:pPr>
          </w:p>
          <w:p w14:paraId="2ADB8E5E" w14:textId="77777777" w:rsidR="007B59DF" w:rsidRPr="001A44AD" w:rsidRDefault="00004A92" w:rsidP="007B59DF">
            <w:pPr>
              <w:jc w:val="both"/>
              <w:rPr>
                <w:rFonts w:eastAsia="Calibri"/>
                <w:b/>
                <w:i/>
                <w:sz w:val="22"/>
                <w:szCs w:val="22"/>
                <w:lang w:eastAsia="en-US"/>
              </w:rPr>
            </w:pPr>
            <w:r w:rsidRPr="001A44AD">
              <w:rPr>
                <w:rFonts w:eastAsia="Calibri"/>
                <w:b/>
                <w:i/>
                <w:sz w:val="22"/>
                <w:szCs w:val="22"/>
                <w:lang w:eastAsia="en-US"/>
              </w:rPr>
              <w:t xml:space="preserve">Papildyti </w:t>
            </w:r>
            <w:r w:rsidR="007B59DF" w:rsidRPr="001A44AD">
              <w:rPr>
                <w:rFonts w:eastAsia="Calibri"/>
                <w:b/>
                <w:i/>
                <w:sz w:val="22"/>
                <w:szCs w:val="22"/>
                <w:lang w:eastAsia="en-US"/>
              </w:rPr>
              <w:t xml:space="preserve">14.3 punktą </w:t>
            </w:r>
            <w:r w:rsidRPr="001A44AD">
              <w:rPr>
                <w:rFonts w:eastAsia="Calibri"/>
                <w:b/>
                <w:i/>
                <w:sz w:val="22"/>
                <w:szCs w:val="22"/>
                <w:lang w:eastAsia="en-US"/>
              </w:rPr>
              <w:t xml:space="preserve">trečia pastraipa ir </w:t>
            </w:r>
            <w:r w:rsidR="007B59DF" w:rsidRPr="001A44AD">
              <w:rPr>
                <w:rFonts w:eastAsia="Calibri"/>
                <w:b/>
                <w:i/>
                <w:sz w:val="22"/>
                <w:szCs w:val="22"/>
                <w:lang w:eastAsia="en-US"/>
              </w:rPr>
              <w:t xml:space="preserve">išdėstyti </w:t>
            </w:r>
            <w:r w:rsidRPr="001A44AD">
              <w:rPr>
                <w:rFonts w:eastAsia="Calibri"/>
                <w:b/>
                <w:i/>
                <w:sz w:val="22"/>
                <w:szCs w:val="22"/>
                <w:lang w:eastAsia="en-US"/>
              </w:rPr>
              <w:t xml:space="preserve">ją </w:t>
            </w:r>
            <w:r w:rsidR="007B59DF" w:rsidRPr="001A44AD">
              <w:rPr>
                <w:rFonts w:eastAsia="Calibri"/>
                <w:b/>
                <w:i/>
                <w:sz w:val="22"/>
                <w:szCs w:val="22"/>
                <w:lang w:eastAsia="en-US"/>
              </w:rPr>
              <w:t>taip:</w:t>
            </w:r>
          </w:p>
          <w:p w14:paraId="43F17295" w14:textId="77777777" w:rsidR="00004A92" w:rsidRPr="001A44AD" w:rsidRDefault="00004A92" w:rsidP="007B59DF">
            <w:pPr>
              <w:jc w:val="both"/>
              <w:rPr>
                <w:rFonts w:eastAsia="Calibri"/>
                <w:b/>
                <w:i/>
                <w:sz w:val="22"/>
                <w:szCs w:val="22"/>
                <w:lang w:eastAsia="en-US"/>
              </w:rPr>
            </w:pPr>
          </w:p>
          <w:p w14:paraId="20C58E14" w14:textId="77777777" w:rsidR="00004A92" w:rsidRPr="001A44AD" w:rsidRDefault="004D0467" w:rsidP="00004A92">
            <w:pPr>
              <w:jc w:val="both"/>
              <w:rPr>
                <w:sz w:val="22"/>
                <w:szCs w:val="22"/>
                <w:lang w:eastAsia="en-US"/>
              </w:rPr>
            </w:pPr>
            <w:r w:rsidRPr="001A44AD">
              <w:rPr>
                <w:sz w:val="22"/>
                <w:szCs w:val="22"/>
                <w:lang w:eastAsia="en-US"/>
              </w:rPr>
              <w:t>Rangovas</w:t>
            </w:r>
            <w:r w:rsidR="00004A92" w:rsidRPr="001A44AD">
              <w:rPr>
                <w:sz w:val="22"/>
                <w:szCs w:val="22"/>
                <w:lang w:eastAsia="en-US"/>
              </w:rPr>
              <w:t xml:space="preserve"> </w:t>
            </w:r>
            <w:r w:rsidRPr="001A44AD">
              <w:rPr>
                <w:sz w:val="22"/>
                <w:szCs w:val="22"/>
                <w:lang w:eastAsia="en-US"/>
              </w:rPr>
              <w:t xml:space="preserve">iki kiekvieno kalendorinio mėnesio 5 dienos </w:t>
            </w:r>
            <w:r w:rsidR="00004A92" w:rsidRPr="001A44AD">
              <w:rPr>
                <w:sz w:val="22"/>
                <w:szCs w:val="22"/>
                <w:lang w:eastAsia="en-US"/>
              </w:rPr>
              <w:t>sąskaitas faktūras privalo pateikti elektroniniu būdu:</w:t>
            </w:r>
          </w:p>
          <w:p w14:paraId="55E867D6" w14:textId="77777777" w:rsidR="00C264CF" w:rsidRPr="001A44AD" w:rsidRDefault="00C264CF" w:rsidP="00004A92">
            <w:pPr>
              <w:jc w:val="both"/>
              <w:rPr>
                <w:sz w:val="22"/>
                <w:szCs w:val="22"/>
                <w:lang w:eastAsia="en-US"/>
              </w:rPr>
            </w:pPr>
          </w:p>
          <w:p w14:paraId="4FE45D06" w14:textId="77777777" w:rsidR="00004A92" w:rsidRPr="001A44AD" w:rsidRDefault="004D0467" w:rsidP="00004A92">
            <w:pPr>
              <w:jc w:val="both"/>
              <w:rPr>
                <w:sz w:val="22"/>
                <w:szCs w:val="22"/>
                <w:lang w:eastAsia="en-US"/>
              </w:rPr>
            </w:pPr>
            <w:r w:rsidRPr="001A44AD">
              <w:rPr>
                <w:sz w:val="22"/>
                <w:szCs w:val="22"/>
                <w:lang w:eastAsia="en-US"/>
              </w:rPr>
              <w:t xml:space="preserve">a) </w:t>
            </w:r>
            <w:r w:rsidR="00004A92" w:rsidRPr="001A44AD">
              <w:rPr>
                <w:sz w:val="22"/>
                <w:szCs w:val="22"/>
                <w:lang w:eastAsia="en-US"/>
              </w:rPr>
              <w:t>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Paslaugų teikėjo pasirinktomis elektroninėmis priemonėmis;</w:t>
            </w:r>
          </w:p>
          <w:p w14:paraId="06D198AF" w14:textId="77777777" w:rsidR="00C264CF" w:rsidRPr="001A44AD" w:rsidRDefault="00C264CF" w:rsidP="00004A92">
            <w:pPr>
              <w:jc w:val="both"/>
              <w:rPr>
                <w:sz w:val="22"/>
                <w:szCs w:val="22"/>
                <w:lang w:eastAsia="en-US"/>
              </w:rPr>
            </w:pPr>
          </w:p>
          <w:p w14:paraId="31DB1B76" w14:textId="77777777" w:rsidR="00004A92" w:rsidRPr="001A44AD" w:rsidRDefault="004D0467" w:rsidP="00004A92">
            <w:pPr>
              <w:jc w:val="both"/>
              <w:rPr>
                <w:sz w:val="22"/>
                <w:szCs w:val="22"/>
                <w:lang w:eastAsia="en-US"/>
              </w:rPr>
            </w:pPr>
            <w:r w:rsidRPr="001A44AD">
              <w:rPr>
                <w:sz w:val="22"/>
                <w:szCs w:val="22"/>
                <w:lang w:eastAsia="en-US"/>
              </w:rPr>
              <w:t xml:space="preserve">b) </w:t>
            </w:r>
            <w:r w:rsidR="00004A92" w:rsidRPr="001A44AD">
              <w:rPr>
                <w:sz w:val="22"/>
                <w:szCs w:val="22"/>
                <w:lang w:eastAsia="en-US"/>
              </w:rPr>
              <w:t>Europos elektroninių sąskaitų faktūrų standarto neatitinkančios elektroninės sąskaitos faktūros teikiamos tik naudojantis informacinės sistemos „SABIS“ priemonėmis (elektroninės paslaugos „SABIS“ svetainė</w:t>
            </w:r>
            <w:r w:rsidR="00C264CF" w:rsidRPr="001A44AD">
              <w:rPr>
                <w:sz w:val="22"/>
                <w:szCs w:val="22"/>
                <w:lang w:eastAsia="en-US"/>
              </w:rPr>
              <w:t xml:space="preserve"> pasiekiama adresu sabis.nbfc.lt</w:t>
            </w:r>
            <w:r w:rsidR="00004A92" w:rsidRPr="001A44AD">
              <w:rPr>
                <w:sz w:val="22"/>
                <w:szCs w:val="22"/>
                <w:lang w:eastAsia="en-US"/>
              </w:rPr>
              <w:t>);</w:t>
            </w:r>
            <w:r w:rsidR="00C264CF" w:rsidRPr="001A44AD">
              <w:rPr>
                <w:sz w:val="22"/>
                <w:szCs w:val="22"/>
                <w:lang w:eastAsia="en-US"/>
              </w:rPr>
              <w:t xml:space="preserve">  </w:t>
            </w:r>
          </w:p>
          <w:p w14:paraId="3DB945F3" w14:textId="77777777" w:rsidR="00C264CF" w:rsidRPr="001A44AD" w:rsidRDefault="00C264CF" w:rsidP="00004A92">
            <w:pPr>
              <w:jc w:val="both"/>
              <w:rPr>
                <w:sz w:val="22"/>
                <w:szCs w:val="22"/>
                <w:lang w:eastAsia="en-US"/>
              </w:rPr>
            </w:pPr>
          </w:p>
          <w:p w14:paraId="07BD4B14" w14:textId="77777777" w:rsidR="007B59DF" w:rsidRPr="001A44AD" w:rsidRDefault="004D0467" w:rsidP="004D0467">
            <w:pPr>
              <w:autoSpaceDN w:val="0"/>
              <w:jc w:val="both"/>
              <w:rPr>
                <w:sz w:val="22"/>
                <w:szCs w:val="22"/>
                <w:lang w:eastAsia="en-US"/>
              </w:rPr>
            </w:pPr>
            <w:r w:rsidRPr="001A44AD">
              <w:rPr>
                <w:sz w:val="22"/>
                <w:szCs w:val="22"/>
                <w:lang w:eastAsia="en-US"/>
              </w:rPr>
              <w:lastRenderedPageBreak/>
              <w:t xml:space="preserve">c) </w:t>
            </w:r>
            <w:r w:rsidR="00004A92" w:rsidRPr="001A44AD">
              <w:rPr>
                <w:sz w:val="22"/>
                <w:szCs w:val="22"/>
                <w:lang w:eastAsia="en-US"/>
              </w:rPr>
              <w:t>Užsakovas elektronines sąskaitas faktūras priima ir apdoroja naudodamasis informacinės sistemos „SABIS“ priemonėmis</w:t>
            </w:r>
            <w:r w:rsidRPr="001A44AD">
              <w:rPr>
                <w:sz w:val="22"/>
                <w:szCs w:val="22"/>
                <w:lang w:eastAsia="en-US"/>
              </w:rPr>
              <w:t>.</w:t>
            </w:r>
            <w:r w:rsidR="00004A92" w:rsidRPr="001A44AD">
              <w:rPr>
                <w:sz w:val="22"/>
                <w:szCs w:val="22"/>
                <w:lang w:eastAsia="en-US"/>
              </w:rPr>
              <w:t xml:space="preserve"> Elektroninė sąskaita faktūra suprantama kaip sąskaita faktūra, išrašyta, perduota ir gauta tokiu elektroniniu formatu, kuris sudaro galimybę ją apdoroti automatiniu ir elektroniniu būdu.</w:t>
            </w:r>
          </w:p>
          <w:p w14:paraId="03F602E7" w14:textId="77777777" w:rsidR="004D0467" w:rsidRPr="001A44AD" w:rsidRDefault="004D0467" w:rsidP="004D0467">
            <w:pPr>
              <w:autoSpaceDN w:val="0"/>
              <w:jc w:val="both"/>
              <w:rPr>
                <w:sz w:val="22"/>
                <w:szCs w:val="22"/>
                <w:lang w:eastAsia="en-US"/>
              </w:rPr>
            </w:pPr>
          </w:p>
        </w:tc>
      </w:tr>
      <w:tr w:rsidR="007B59DF" w:rsidRPr="001A44AD" w14:paraId="2502C451"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3D275A04" w14:textId="77777777" w:rsidR="007B59DF" w:rsidRPr="001A44AD" w:rsidRDefault="007B59DF" w:rsidP="007B59DF">
            <w:pPr>
              <w:autoSpaceDN w:val="0"/>
              <w:rPr>
                <w:b/>
                <w:sz w:val="22"/>
                <w:szCs w:val="22"/>
              </w:rPr>
            </w:pPr>
            <w:r w:rsidRPr="001A44AD">
              <w:rPr>
                <w:b/>
                <w:sz w:val="22"/>
                <w:szCs w:val="22"/>
              </w:rPr>
              <w:lastRenderedPageBreak/>
              <w:t>14.10 punktas</w:t>
            </w:r>
          </w:p>
        </w:tc>
        <w:tc>
          <w:tcPr>
            <w:tcW w:w="8675" w:type="dxa"/>
            <w:tcBorders>
              <w:top w:val="single" w:sz="4" w:space="0" w:color="auto"/>
              <w:left w:val="single" w:sz="4" w:space="0" w:color="auto"/>
              <w:bottom w:val="single" w:sz="4" w:space="0" w:color="auto"/>
              <w:right w:val="single" w:sz="4" w:space="0" w:color="auto"/>
            </w:tcBorders>
            <w:hideMark/>
          </w:tcPr>
          <w:p w14:paraId="29B522BF" w14:textId="77777777" w:rsidR="007B59DF" w:rsidRPr="001A44AD" w:rsidRDefault="00080DFE" w:rsidP="007B59DF">
            <w:pPr>
              <w:autoSpaceDN w:val="0"/>
              <w:rPr>
                <w:b/>
                <w:sz w:val="22"/>
                <w:szCs w:val="22"/>
              </w:rPr>
            </w:pPr>
            <w:r w:rsidRPr="001A44AD">
              <w:rPr>
                <w:b/>
                <w:sz w:val="22"/>
                <w:szCs w:val="22"/>
              </w:rPr>
              <w:t>Mokėjimo paraiška užbaigus darbus</w:t>
            </w:r>
          </w:p>
        </w:tc>
      </w:tr>
      <w:tr w:rsidR="007B59DF" w:rsidRPr="001A44AD" w14:paraId="336B4751"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7632237A"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7C87E72B" w14:textId="77777777" w:rsidR="00080DFE" w:rsidRPr="001A44AD" w:rsidRDefault="00080DFE" w:rsidP="007B59DF">
            <w:pPr>
              <w:rPr>
                <w:rFonts w:eastAsia="Calibri"/>
                <w:b/>
                <w:i/>
                <w:sz w:val="22"/>
                <w:szCs w:val="22"/>
                <w:lang w:eastAsia="en-US"/>
              </w:rPr>
            </w:pPr>
          </w:p>
          <w:p w14:paraId="04BC5389" w14:textId="77777777" w:rsidR="007B59DF" w:rsidRPr="001A44AD" w:rsidRDefault="007B59DF" w:rsidP="007B59DF">
            <w:pPr>
              <w:rPr>
                <w:rFonts w:eastAsia="Calibri"/>
                <w:b/>
                <w:i/>
                <w:sz w:val="22"/>
                <w:szCs w:val="22"/>
                <w:lang w:eastAsia="en-US"/>
              </w:rPr>
            </w:pPr>
            <w:r w:rsidRPr="001A44AD">
              <w:rPr>
                <w:rFonts w:eastAsia="Calibri"/>
                <w:b/>
                <w:i/>
                <w:sz w:val="22"/>
                <w:szCs w:val="22"/>
                <w:lang w:eastAsia="en-US"/>
              </w:rPr>
              <w:t xml:space="preserve">Pakeisti pirmos 14.10 </w:t>
            </w:r>
            <w:r w:rsidR="00080DFE" w:rsidRPr="001A44AD">
              <w:rPr>
                <w:rFonts w:eastAsia="Calibri"/>
                <w:b/>
                <w:i/>
                <w:sz w:val="22"/>
                <w:szCs w:val="22"/>
                <w:lang w:eastAsia="en-US"/>
              </w:rPr>
              <w:t>punkto pastraipos pirmą sakinį ir išdėstyti jį taip:</w:t>
            </w:r>
          </w:p>
          <w:p w14:paraId="47DD6C6F" w14:textId="77777777" w:rsidR="00080DFE" w:rsidRPr="001A44AD" w:rsidRDefault="00080DFE" w:rsidP="007B59DF">
            <w:pPr>
              <w:rPr>
                <w:rFonts w:eastAsia="Calibri"/>
                <w:b/>
                <w:i/>
                <w:sz w:val="22"/>
                <w:szCs w:val="22"/>
                <w:lang w:eastAsia="en-US"/>
              </w:rPr>
            </w:pPr>
          </w:p>
          <w:p w14:paraId="1495CAF9" w14:textId="77777777" w:rsidR="007B59DF" w:rsidRPr="001A44AD" w:rsidRDefault="00080DFE" w:rsidP="007B59DF">
            <w:pPr>
              <w:autoSpaceDE w:val="0"/>
              <w:autoSpaceDN w:val="0"/>
              <w:adjustRightInd w:val="0"/>
              <w:jc w:val="both"/>
              <w:rPr>
                <w:rFonts w:eastAsia="Calibri"/>
                <w:color w:val="000000"/>
                <w:sz w:val="22"/>
                <w:szCs w:val="22"/>
                <w:lang w:eastAsia="en-US"/>
              </w:rPr>
            </w:pPr>
            <w:r w:rsidRPr="001A44AD">
              <w:rPr>
                <w:rFonts w:eastAsia="Calibri"/>
                <w:color w:val="000000"/>
                <w:sz w:val="22"/>
                <w:szCs w:val="22"/>
                <w:lang w:eastAsia="en-US"/>
              </w:rPr>
              <w:t>Rangovas per 28 dienas nuo Darbų Užbaigimo datos privalo pateikti Inžinieriui Mokėjimo paraišką apie užbaigtus darbus su patvirtinamais dokumentais pagal 14.3 punktą [Tarpinio mokėjimo prašymas], kurioje nurodoma:</w:t>
            </w:r>
          </w:p>
          <w:p w14:paraId="51987478" w14:textId="77777777" w:rsidR="00080DFE" w:rsidRPr="001A44AD" w:rsidRDefault="00080DFE" w:rsidP="007B59DF">
            <w:pPr>
              <w:autoSpaceDE w:val="0"/>
              <w:autoSpaceDN w:val="0"/>
              <w:adjustRightInd w:val="0"/>
              <w:jc w:val="both"/>
              <w:rPr>
                <w:rFonts w:eastAsia="Calibri"/>
                <w:color w:val="000000"/>
                <w:sz w:val="22"/>
                <w:szCs w:val="22"/>
                <w:lang w:eastAsia="en-US"/>
              </w:rPr>
            </w:pPr>
          </w:p>
          <w:p w14:paraId="60B8FA68" w14:textId="77777777" w:rsidR="00080DFE" w:rsidRPr="001A44AD" w:rsidRDefault="00080DFE" w:rsidP="007B59DF">
            <w:pPr>
              <w:autoSpaceDE w:val="0"/>
              <w:autoSpaceDN w:val="0"/>
              <w:adjustRightInd w:val="0"/>
              <w:jc w:val="both"/>
              <w:rPr>
                <w:rFonts w:eastAsia="Calibri"/>
                <w:sz w:val="22"/>
                <w:szCs w:val="22"/>
                <w:lang w:eastAsia="en-US"/>
              </w:rPr>
            </w:pPr>
          </w:p>
        </w:tc>
      </w:tr>
      <w:tr w:rsidR="007B59DF" w:rsidRPr="001A44AD" w14:paraId="273E8B1E"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359BB89B" w14:textId="77777777" w:rsidR="007B59DF" w:rsidRPr="001A44AD" w:rsidRDefault="007B59DF" w:rsidP="007B59DF">
            <w:pPr>
              <w:autoSpaceDN w:val="0"/>
              <w:rPr>
                <w:b/>
                <w:sz w:val="22"/>
                <w:szCs w:val="22"/>
              </w:rPr>
            </w:pPr>
            <w:r w:rsidRPr="001A44AD">
              <w:rPr>
                <w:b/>
                <w:sz w:val="22"/>
                <w:szCs w:val="22"/>
              </w:rPr>
              <w:t>14.15 punktas</w:t>
            </w:r>
          </w:p>
        </w:tc>
        <w:tc>
          <w:tcPr>
            <w:tcW w:w="8675" w:type="dxa"/>
            <w:tcBorders>
              <w:top w:val="single" w:sz="4" w:space="0" w:color="auto"/>
              <w:left w:val="single" w:sz="4" w:space="0" w:color="auto"/>
              <w:bottom w:val="single" w:sz="4" w:space="0" w:color="auto"/>
              <w:right w:val="single" w:sz="4" w:space="0" w:color="auto"/>
            </w:tcBorders>
            <w:hideMark/>
          </w:tcPr>
          <w:p w14:paraId="3205E568" w14:textId="77777777" w:rsidR="007B59DF" w:rsidRPr="001A44AD" w:rsidRDefault="007B59DF" w:rsidP="007B59DF">
            <w:pPr>
              <w:autoSpaceDN w:val="0"/>
              <w:rPr>
                <w:b/>
                <w:sz w:val="22"/>
                <w:szCs w:val="22"/>
              </w:rPr>
            </w:pPr>
            <w:bookmarkStart w:id="73" w:name="mokejimo_valiuta_14_15"/>
            <w:r w:rsidRPr="001A44AD">
              <w:rPr>
                <w:b/>
                <w:sz w:val="22"/>
                <w:szCs w:val="22"/>
              </w:rPr>
              <w:t>Mokėjimo valiutos</w:t>
            </w:r>
            <w:bookmarkEnd w:id="73"/>
          </w:p>
        </w:tc>
      </w:tr>
      <w:tr w:rsidR="007B59DF" w:rsidRPr="001A44AD" w14:paraId="05918E8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256BCA8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33465618" w14:textId="77777777" w:rsidR="00080DFE" w:rsidRPr="001A44AD" w:rsidRDefault="00080DFE" w:rsidP="007B59DF">
            <w:pPr>
              <w:jc w:val="both"/>
              <w:rPr>
                <w:b/>
                <w:i/>
                <w:sz w:val="22"/>
                <w:szCs w:val="22"/>
              </w:rPr>
            </w:pPr>
          </w:p>
          <w:p w14:paraId="2C61AC83" w14:textId="77777777" w:rsidR="007B59DF" w:rsidRPr="001A44AD" w:rsidRDefault="007B59DF" w:rsidP="007B59DF">
            <w:pPr>
              <w:jc w:val="both"/>
              <w:rPr>
                <w:b/>
                <w:i/>
                <w:sz w:val="22"/>
                <w:szCs w:val="22"/>
              </w:rPr>
            </w:pPr>
            <w:r w:rsidRPr="001A44AD">
              <w:rPr>
                <w:b/>
                <w:i/>
                <w:sz w:val="22"/>
                <w:szCs w:val="22"/>
              </w:rPr>
              <w:t xml:space="preserve">Pakeisti 14.15 punktą ir jį išdėstyti taip: </w:t>
            </w:r>
          </w:p>
          <w:p w14:paraId="3A23F69B" w14:textId="77777777" w:rsidR="00080DFE" w:rsidRPr="001A44AD" w:rsidRDefault="00080DFE" w:rsidP="007B59DF">
            <w:pPr>
              <w:jc w:val="both"/>
              <w:rPr>
                <w:b/>
                <w:i/>
                <w:sz w:val="22"/>
                <w:szCs w:val="22"/>
              </w:rPr>
            </w:pPr>
          </w:p>
          <w:p w14:paraId="10B86A0F" w14:textId="77777777" w:rsidR="007B59DF" w:rsidRPr="001A44AD" w:rsidRDefault="007B59DF" w:rsidP="007B59DF">
            <w:pPr>
              <w:autoSpaceDN w:val="0"/>
              <w:rPr>
                <w:rFonts w:eastAsia="Calibri"/>
                <w:sz w:val="22"/>
                <w:szCs w:val="22"/>
                <w:shd w:val="clear" w:color="auto" w:fill="FFFFFF"/>
                <w:lang w:eastAsia="en-US"/>
              </w:rPr>
            </w:pPr>
            <w:r w:rsidRPr="001A44AD">
              <w:rPr>
                <w:rFonts w:eastAsia="Calibri"/>
                <w:sz w:val="22"/>
                <w:szCs w:val="22"/>
                <w:lang w:eastAsia="en-US"/>
              </w:rPr>
              <w:t>Sutarties valiuta yra</w:t>
            </w:r>
            <w:r w:rsidRPr="001A44AD">
              <w:rPr>
                <w:rFonts w:eastAsia="Calibri"/>
                <w:sz w:val="22"/>
                <w:szCs w:val="22"/>
                <w:shd w:val="clear" w:color="auto" w:fill="FFFFFF"/>
                <w:lang w:eastAsia="en-US"/>
              </w:rPr>
              <w:t xml:space="preserve"> euras (Eur).</w:t>
            </w:r>
          </w:p>
          <w:p w14:paraId="0DC97B72" w14:textId="77777777" w:rsidR="00080DFE" w:rsidRPr="001A44AD" w:rsidRDefault="00080DFE" w:rsidP="007B59DF">
            <w:pPr>
              <w:autoSpaceDN w:val="0"/>
              <w:rPr>
                <w:rFonts w:eastAsia="Calibri"/>
                <w:sz w:val="22"/>
                <w:szCs w:val="22"/>
                <w:lang w:eastAsia="en-US"/>
              </w:rPr>
            </w:pPr>
          </w:p>
        </w:tc>
      </w:tr>
      <w:tr w:rsidR="00F11B3F" w:rsidRPr="001A44AD" w14:paraId="18BBEDDF" w14:textId="77777777" w:rsidTr="00F267A9">
        <w:tc>
          <w:tcPr>
            <w:tcW w:w="10343" w:type="dxa"/>
            <w:gridSpan w:val="3"/>
            <w:tcBorders>
              <w:top w:val="single" w:sz="4" w:space="0" w:color="auto"/>
              <w:left w:val="single" w:sz="4" w:space="0" w:color="auto"/>
              <w:bottom w:val="single" w:sz="4" w:space="0" w:color="auto"/>
              <w:right w:val="single" w:sz="4" w:space="0" w:color="auto"/>
            </w:tcBorders>
          </w:tcPr>
          <w:p w14:paraId="3C155072" w14:textId="77777777" w:rsidR="00F11B3F" w:rsidRPr="001A44AD" w:rsidRDefault="00F11B3F" w:rsidP="00F11B3F">
            <w:pPr>
              <w:jc w:val="center"/>
              <w:rPr>
                <w:b/>
                <w:iCs/>
                <w:sz w:val="22"/>
                <w:szCs w:val="22"/>
              </w:rPr>
            </w:pPr>
            <w:r w:rsidRPr="001A44AD">
              <w:rPr>
                <w:b/>
                <w:iCs/>
                <w:sz w:val="22"/>
                <w:szCs w:val="22"/>
              </w:rPr>
              <w:t>15 straipsnis. Sutarties nutraukimas Užsakovo iniciatyva</w:t>
            </w:r>
          </w:p>
        </w:tc>
      </w:tr>
      <w:tr w:rsidR="00F11B3F" w:rsidRPr="001A44AD" w14:paraId="1EF3C468"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7CA15049" w14:textId="77777777" w:rsidR="00F11B3F" w:rsidRPr="001A44AD" w:rsidRDefault="00F11B3F" w:rsidP="007B59DF">
            <w:pPr>
              <w:autoSpaceDN w:val="0"/>
              <w:rPr>
                <w:b/>
                <w:sz w:val="22"/>
                <w:szCs w:val="22"/>
              </w:rPr>
            </w:pPr>
            <w:r w:rsidRPr="001A44AD">
              <w:rPr>
                <w:b/>
                <w:sz w:val="22"/>
                <w:szCs w:val="22"/>
              </w:rPr>
              <w:t>15.2 punktas</w:t>
            </w:r>
          </w:p>
        </w:tc>
        <w:tc>
          <w:tcPr>
            <w:tcW w:w="8675" w:type="dxa"/>
            <w:tcBorders>
              <w:top w:val="single" w:sz="4" w:space="0" w:color="auto"/>
              <w:left w:val="single" w:sz="4" w:space="0" w:color="auto"/>
              <w:bottom w:val="single" w:sz="4" w:space="0" w:color="auto"/>
              <w:right w:val="single" w:sz="4" w:space="0" w:color="auto"/>
            </w:tcBorders>
          </w:tcPr>
          <w:p w14:paraId="5391FD46" w14:textId="77777777" w:rsidR="00F11B3F" w:rsidRPr="001A44AD" w:rsidRDefault="00F11B3F" w:rsidP="007B59DF">
            <w:pPr>
              <w:jc w:val="both"/>
              <w:rPr>
                <w:sz w:val="22"/>
                <w:szCs w:val="22"/>
              </w:rPr>
            </w:pPr>
          </w:p>
          <w:p w14:paraId="22AE50E8" w14:textId="77777777" w:rsidR="00F11B3F" w:rsidRPr="001A44AD" w:rsidRDefault="00F11B3F" w:rsidP="007B59DF">
            <w:pPr>
              <w:jc w:val="both"/>
              <w:rPr>
                <w:b/>
                <w:i/>
                <w:sz w:val="22"/>
                <w:szCs w:val="22"/>
              </w:rPr>
            </w:pPr>
            <w:r w:rsidRPr="001A44AD">
              <w:rPr>
                <w:b/>
                <w:i/>
                <w:sz w:val="22"/>
                <w:szCs w:val="22"/>
              </w:rPr>
              <w:t>Pakeisti 15.2. punktą ir išdėstyti jį taip:</w:t>
            </w:r>
          </w:p>
          <w:p w14:paraId="14628C08" w14:textId="77777777" w:rsidR="00F11B3F" w:rsidRPr="001A44AD" w:rsidRDefault="00F11B3F" w:rsidP="007B59DF">
            <w:pPr>
              <w:jc w:val="both"/>
              <w:rPr>
                <w:sz w:val="22"/>
                <w:szCs w:val="22"/>
              </w:rPr>
            </w:pPr>
          </w:p>
          <w:p w14:paraId="23A2C7C7" w14:textId="77777777" w:rsidR="00F11B3F" w:rsidRPr="001A44AD" w:rsidRDefault="00F11B3F" w:rsidP="00F11B3F">
            <w:pPr>
              <w:jc w:val="both"/>
              <w:rPr>
                <w:sz w:val="22"/>
                <w:szCs w:val="22"/>
              </w:rPr>
            </w:pPr>
            <w:r w:rsidRPr="001A44AD">
              <w:rPr>
                <w:sz w:val="22"/>
                <w:szCs w:val="22"/>
              </w:rPr>
              <w:t>Užsakovas turi teisę vienašališkai ne teismo tvarka nutraukti Sutartį, jeigu Rangovas (bet kuris Rangovo jungtinės veiklos partneris) padaro esminį Sutarties pažeidimą, tai yra:</w:t>
            </w:r>
          </w:p>
          <w:p w14:paraId="36D6F1F6" w14:textId="77777777" w:rsidR="00C264CF" w:rsidRPr="001A44AD" w:rsidRDefault="00C264CF" w:rsidP="00F11B3F">
            <w:pPr>
              <w:jc w:val="both"/>
              <w:rPr>
                <w:sz w:val="22"/>
                <w:szCs w:val="22"/>
              </w:rPr>
            </w:pPr>
          </w:p>
          <w:p w14:paraId="6F0D4DF2" w14:textId="77777777" w:rsidR="00C264CF" w:rsidRPr="001A44AD" w:rsidRDefault="00F11B3F" w:rsidP="00F11B3F">
            <w:pPr>
              <w:jc w:val="both"/>
              <w:rPr>
                <w:sz w:val="22"/>
                <w:szCs w:val="22"/>
              </w:rPr>
            </w:pPr>
            <w:r w:rsidRPr="001A44AD">
              <w:rPr>
                <w:sz w:val="22"/>
                <w:szCs w:val="22"/>
              </w:rPr>
              <w:t>a) nevykdo Darbų arba vykdo Darbus akivaizdžiai per lėtai, kad spėtų juos užbaigti per Darbų terminus, ir, gavęs Užsakovo pretenziją dėl vėlavimo, nesiima Darbų paspartinimo priemonių;</w:t>
            </w:r>
          </w:p>
          <w:p w14:paraId="6C74261C" w14:textId="77777777" w:rsidR="00F11B3F" w:rsidRPr="001A44AD" w:rsidRDefault="00F11B3F" w:rsidP="00F11B3F">
            <w:pPr>
              <w:jc w:val="both"/>
              <w:rPr>
                <w:sz w:val="22"/>
                <w:szCs w:val="22"/>
              </w:rPr>
            </w:pPr>
            <w:r w:rsidRPr="001A44AD">
              <w:rPr>
                <w:sz w:val="22"/>
                <w:szCs w:val="22"/>
              </w:rPr>
              <w:t xml:space="preserve"> </w:t>
            </w:r>
          </w:p>
          <w:p w14:paraId="3EE70146" w14:textId="77777777" w:rsidR="00F11B3F" w:rsidRPr="001A44AD" w:rsidRDefault="00F11B3F" w:rsidP="00F11B3F">
            <w:pPr>
              <w:jc w:val="both"/>
              <w:rPr>
                <w:sz w:val="22"/>
                <w:szCs w:val="22"/>
              </w:rPr>
            </w:pPr>
            <w:r w:rsidRPr="001A44AD">
              <w:rPr>
                <w:sz w:val="22"/>
                <w:szCs w:val="22"/>
              </w:rPr>
              <w:t>b) pažeidžia Darbų terminus ir priskaičiuotų netesybų už vėlavimą suma viršija 20% Pradinės sutarties vertės;</w:t>
            </w:r>
          </w:p>
          <w:p w14:paraId="3F28B312" w14:textId="77777777" w:rsidR="00C264CF" w:rsidRPr="001A44AD" w:rsidRDefault="00C264CF" w:rsidP="00F11B3F">
            <w:pPr>
              <w:jc w:val="both"/>
              <w:rPr>
                <w:sz w:val="22"/>
                <w:szCs w:val="22"/>
              </w:rPr>
            </w:pPr>
          </w:p>
          <w:p w14:paraId="176A8ECF" w14:textId="77777777" w:rsidR="00F11B3F" w:rsidRPr="001A44AD" w:rsidRDefault="00F11B3F" w:rsidP="00F11B3F">
            <w:pPr>
              <w:jc w:val="both"/>
              <w:rPr>
                <w:sz w:val="22"/>
                <w:szCs w:val="22"/>
              </w:rPr>
            </w:pPr>
            <w:r w:rsidRPr="001A44AD">
              <w:rPr>
                <w:sz w:val="22"/>
                <w:szCs w:val="22"/>
              </w:rPr>
              <w:t>c) pažeidžia Darbų terminus ir dėl Darbų vėlavimo Darbai praranda prasmę Užsakovui, jeigu tokia sąlyga buvo nurodyta Užsakovo užduotyje;</w:t>
            </w:r>
          </w:p>
          <w:p w14:paraId="6DF569CC" w14:textId="77777777" w:rsidR="00C264CF" w:rsidRPr="001A44AD" w:rsidRDefault="00C264CF" w:rsidP="00F11B3F">
            <w:pPr>
              <w:jc w:val="both"/>
              <w:rPr>
                <w:sz w:val="22"/>
                <w:szCs w:val="22"/>
              </w:rPr>
            </w:pPr>
          </w:p>
          <w:p w14:paraId="7AE8A5B3" w14:textId="77777777" w:rsidR="00F11B3F" w:rsidRPr="001A44AD" w:rsidRDefault="00F11B3F" w:rsidP="00F11B3F">
            <w:pPr>
              <w:jc w:val="both"/>
              <w:rPr>
                <w:sz w:val="22"/>
                <w:szCs w:val="22"/>
              </w:rPr>
            </w:pPr>
            <w:r w:rsidRPr="001A44AD">
              <w:rPr>
                <w:sz w:val="22"/>
                <w:szCs w:val="22"/>
              </w:rPr>
              <w:t>d) nepasiekia minimalių ekonominio naudingumo kriterijų reikšmių ir parametrų ir, gavęs Užsakovo pretenziją, neištaiso pažeidimų;</w:t>
            </w:r>
          </w:p>
          <w:p w14:paraId="4A29C820" w14:textId="77777777" w:rsidR="00C264CF" w:rsidRPr="001A44AD" w:rsidRDefault="00C264CF" w:rsidP="00F11B3F">
            <w:pPr>
              <w:jc w:val="both"/>
              <w:rPr>
                <w:sz w:val="22"/>
                <w:szCs w:val="22"/>
              </w:rPr>
            </w:pPr>
          </w:p>
          <w:p w14:paraId="3FEF5675" w14:textId="77777777" w:rsidR="00F11B3F" w:rsidRPr="001A44AD" w:rsidRDefault="00F11B3F" w:rsidP="00F11B3F">
            <w:pPr>
              <w:jc w:val="both"/>
              <w:rPr>
                <w:sz w:val="22"/>
                <w:szCs w:val="22"/>
              </w:rPr>
            </w:pPr>
            <w:r w:rsidRPr="001A44AD">
              <w:rPr>
                <w:sz w:val="22"/>
                <w:szCs w:val="22"/>
              </w:rPr>
              <w:t>e) neįvykdo visų Įstatymų ir Sutarties reikalavimų ir dėl to statinys neturi įprastai reikalaujamų ir (arba) Įstatymuose bei Sutartyje numatytų savybių ir (arba) negali būti naudojamas pagal paskirtį per numatytąją statinio gyvavimo trukmę;</w:t>
            </w:r>
          </w:p>
          <w:p w14:paraId="5BD49062" w14:textId="77777777" w:rsidR="00C264CF" w:rsidRPr="001A44AD" w:rsidRDefault="00C264CF" w:rsidP="00F11B3F">
            <w:pPr>
              <w:jc w:val="both"/>
              <w:rPr>
                <w:sz w:val="22"/>
                <w:szCs w:val="22"/>
              </w:rPr>
            </w:pPr>
          </w:p>
          <w:p w14:paraId="04B3DD31" w14:textId="77777777" w:rsidR="00F11B3F" w:rsidRPr="001A44AD" w:rsidRDefault="00F11B3F" w:rsidP="00F11B3F">
            <w:pPr>
              <w:jc w:val="both"/>
              <w:rPr>
                <w:sz w:val="22"/>
                <w:szCs w:val="22"/>
              </w:rPr>
            </w:pPr>
            <w:r w:rsidRPr="001A44AD">
              <w:rPr>
                <w:sz w:val="22"/>
                <w:szCs w:val="22"/>
              </w:rPr>
              <w:t>f) padaro kitą Sutarties pažeidimą, kuris atitinka esminio Sutarties pažeidimo požymius, nurodytus Lietuvos Respublikos civiliniame kodekse, ir, gavęs Užsakovo pretenziją, neištaiso pažeidimo;</w:t>
            </w:r>
          </w:p>
          <w:p w14:paraId="03394F43" w14:textId="77777777" w:rsidR="00C264CF" w:rsidRPr="001A44AD" w:rsidRDefault="00C264CF" w:rsidP="00F11B3F">
            <w:pPr>
              <w:jc w:val="both"/>
              <w:rPr>
                <w:sz w:val="22"/>
                <w:szCs w:val="22"/>
              </w:rPr>
            </w:pPr>
          </w:p>
          <w:p w14:paraId="48A26221" w14:textId="77777777" w:rsidR="00F11B3F" w:rsidRPr="001A44AD" w:rsidRDefault="00F11B3F" w:rsidP="00F11B3F">
            <w:pPr>
              <w:jc w:val="both"/>
              <w:rPr>
                <w:sz w:val="22"/>
                <w:szCs w:val="22"/>
              </w:rPr>
            </w:pPr>
            <w:r w:rsidRPr="001A44AD">
              <w:rPr>
                <w:sz w:val="22"/>
                <w:szCs w:val="22"/>
              </w:rPr>
              <w:t>g)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 bei neištaiso pažeidimo gavęs Užsakovo pretenziją; kai tokias sąlygas atitinka Rangovo jungtinės veiklos partneris ar Subjektas, kurio pajėgumais remiasi Rangovas, ir Šalys nesusitaria dėl tokio asmens pakeitimo kitu.</w:t>
            </w:r>
          </w:p>
          <w:p w14:paraId="189B6CF3" w14:textId="77777777" w:rsidR="00F11B3F" w:rsidRPr="001A44AD" w:rsidRDefault="00F11B3F" w:rsidP="00F11B3F">
            <w:pPr>
              <w:jc w:val="both"/>
              <w:rPr>
                <w:sz w:val="22"/>
                <w:szCs w:val="22"/>
              </w:rPr>
            </w:pPr>
          </w:p>
          <w:p w14:paraId="1DAF7268" w14:textId="66D65596" w:rsidR="00F11B3F" w:rsidRPr="001A44AD" w:rsidRDefault="00F11B3F" w:rsidP="00F11B3F">
            <w:pPr>
              <w:jc w:val="both"/>
              <w:rPr>
                <w:sz w:val="22"/>
                <w:szCs w:val="22"/>
              </w:rPr>
            </w:pPr>
            <w:r w:rsidRPr="001A44AD">
              <w:rPr>
                <w:sz w:val="22"/>
                <w:szCs w:val="22"/>
              </w:rPr>
              <w:t>Užsakovas privalo vienašališkai ne tei</w:t>
            </w:r>
            <w:r w:rsidR="00B32E60">
              <w:rPr>
                <w:sz w:val="22"/>
                <w:szCs w:val="22"/>
              </w:rPr>
              <w:t>smo tvarka nutraukti Sutarties Pakeitimą, jeigu toks P</w:t>
            </w:r>
            <w:r w:rsidRPr="001A44AD">
              <w:rPr>
                <w:sz w:val="22"/>
                <w:szCs w:val="22"/>
              </w:rPr>
              <w:t>akeitimas buvo sudarytas pažeidžiant imperatyviąsias Įstatymų nuostatas. Jei</w:t>
            </w:r>
            <w:r w:rsidR="00B32E60">
              <w:rPr>
                <w:sz w:val="22"/>
                <w:szCs w:val="22"/>
              </w:rPr>
              <w:t xml:space="preserve">gu tik dalis </w:t>
            </w:r>
            <w:r w:rsidR="00B32E60">
              <w:rPr>
                <w:sz w:val="22"/>
                <w:szCs w:val="22"/>
              </w:rPr>
              <w:lastRenderedPageBreak/>
              <w:t>Sutarties P</w:t>
            </w:r>
            <w:r w:rsidRPr="001A44AD">
              <w:rPr>
                <w:sz w:val="22"/>
                <w:szCs w:val="22"/>
              </w:rPr>
              <w:t>akeitimo pažeidžia imperatyviąsias Įstatymų nuostatas, turi būt</w:t>
            </w:r>
            <w:r w:rsidR="00740BBA" w:rsidRPr="001A44AD">
              <w:rPr>
                <w:sz w:val="22"/>
                <w:szCs w:val="22"/>
              </w:rPr>
              <w:t>i nutraukta tik tokia Sut</w:t>
            </w:r>
            <w:r w:rsidR="00B32E60">
              <w:rPr>
                <w:sz w:val="22"/>
                <w:szCs w:val="22"/>
              </w:rPr>
              <w:t>arties P</w:t>
            </w:r>
            <w:r w:rsidR="00740BBA" w:rsidRPr="001A44AD">
              <w:rPr>
                <w:sz w:val="22"/>
                <w:szCs w:val="22"/>
              </w:rPr>
              <w:t>akeitimo</w:t>
            </w:r>
            <w:r w:rsidRPr="001A44AD">
              <w:rPr>
                <w:sz w:val="22"/>
                <w:szCs w:val="22"/>
              </w:rPr>
              <w:t xml:space="preserve"> dalis, jeigu galima da</w:t>
            </w:r>
            <w:r w:rsidR="00B32E60">
              <w:rPr>
                <w:sz w:val="22"/>
                <w:szCs w:val="22"/>
              </w:rPr>
              <w:t>ryti prielaidą, kad Sutarties P</w:t>
            </w:r>
            <w:r w:rsidR="00740BBA" w:rsidRPr="001A44AD">
              <w:rPr>
                <w:sz w:val="22"/>
                <w:szCs w:val="22"/>
              </w:rPr>
              <w:t xml:space="preserve">akeitimas </w:t>
            </w:r>
            <w:r w:rsidRPr="001A44AD">
              <w:rPr>
                <w:sz w:val="22"/>
                <w:szCs w:val="22"/>
              </w:rPr>
              <w:t>būtų buvęs sudarytas ir neįtraukiant neteisėtosios dalies.</w:t>
            </w:r>
          </w:p>
          <w:p w14:paraId="6EC4C83C" w14:textId="77777777" w:rsidR="00740BBA" w:rsidRPr="001A44AD" w:rsidRDefault="00740BBA" w:rsidP="00F11B3F">
            <w:pPr>
              <w:jc w:val="both"/>
              <w:rPr>
                <w:sz w:val="22"/>
                <w:szCs w:val="22"/>
              </w:rPr>
            </w:pPr>
          </w:p>
          <w:p w14:paraId="0E429871" w14:textId="3CD0B2D9" w:rsidR="00740BBA" w:rsidRPr="001A44AD" w:rsidRDefault="00F11B3F" w:rsidP="00F11B3F">
            <w:pPr>
              <w:jc w:val="both"/>
              <w:rPr>
                <w:sz w:val="22"/>
                <w:szCs w:val="22"/>
              </w:rPr>
            </w:pPr>
            <w:r w:rsidRPr="001A44AD">
              <w:rPr>
                <w:sz w:val="22"/>
                <w:szCs w:val="22"/>
              </w:rPr>
              <w:t>Užsakovas privalo iš anksto ne mažiau nei prieš 30 dienų įspėti Rang</w:t>
            </w:r>
            <w:r w:rsidR="00740BBA" w:rsidRPr="001A44AD">
              <w:rPr>
                <w:sz w:val="22"/>
                <w:szCs w:val="22"/>
              </w:rPr>
              <w:t>o</w:t>
            </w:r>
            <w:r w:rsidR="00B32E60">
              <w:rPr>
                <w:sz w:val="22"/>
                <w:szCs w:val="22"/>
              </w:rPr>
              <w:t>vą apie Sutarties ar Sutarties P</w:t>
            </w:r>
            <w:r w:rsidR="00740BBA" w:rsidRPr="001A44AD">
              <w:rPr>
                <w:sz w:val="22"/>
                <w:szCs w:val="22"/>
              </w:rPr>
              <w:t>akeitimo</w:t>
            </w:r>
            <w:r w:rsidRPr="001A44AD">
              <w:rPr>
                <w:sz w:val="22"/>
                <w:szCs w:val="22"/>
              </w:rPr>
              <w:t xml:space="preserve"> nutraukimą. Įspėjimas gali būti nurodytas pretenzijoje</w:t>
            </w:r>
            <w:r w:rsidR="00B32E60">
              <w:rPr>
                <w:sz w:val="22"/>
                <w:szCs w:val="22"/>
              </w:rPr>
              <w:t>. Sutartis arba Sutarties P</w:t>
            </w:r>
            <w:r w:rsidR="00740BBA" w:rsidRPr="001A44AD">
              <w:rPr>
                <w:sz w:val="22"/>
                <w:szCs w:val="22"/>
              </w:rPr>
              <w:t xml:space="preserve">akeitimas laikomas </w:t>
            </w:r>
            <w:r w:rsidRPr="001A44AD">
              <w:rPr>
                <w:sz w:val="22"/>
                <w:szCs w:val="22"/>
              </w:rPr>
              <w:t xml:space="preserve">nutrauktu kitą dieną po įspėjimo termino pabaigos. </w:t>
            </w:r>
          </w:p>
          <w:p w14:paraId="2BDED73B" w14:textId="77777777" w:rsidR="00F11B3F" w:rsidRPr="001A44AD" w:rsidRDefault="00F11B3F" w:rsidP="00740BBA">
            <w:pPr>
              <w:jc w:val="both"/>
              <w:rPr>
                <w:sz w:val="22"/>
                <w:szCs w:val="22"/>
              </w:rPr>
            </w:pPr>
          </w:p>
        </w:tc>
      </w:tr>
      <w:tr w:rsidR="007B59DF" w:rsidRPr="001A44AD" w14:paraId="2C682F51"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8C298AF" w14:textId="77777777" w:rsidR="007B59DF" w:rsidRPr="001A44AD" w:rsidRDefault="007B59DF" w:rsidP="00C264CF">
            <w:pPr>
              <w:suppressAutoHyphens/>
              <w:overflowPunct w:val="0"/>
              <w:autoSpaceDE w:val="0"/>
              <w:autoSpaceDN w:val="0"/>
              <w:adjustRightInd w:val="0"/>
              <w:jc w:val="center"/>
              <w:textAlignment w:val="baseline"/>
              <w:rPr>
                <w:sz w:val="22"/>
                <w:szCs w:val="22"/>
                <w:lang w:eastAsia="en-US"/>
              </w:rPr>
            </w:pPr>
            <w:bookmarkStart w:id="74" w:name="_Toc128826839"/>
            <w:bookmarkStart w:id="75" w:name="_Toc140564107"/>
            <w:bookmarkStart w:id="76" w:name="_Toc143077383"/>
            <w:bookmarkStart w:id="77" w:name="_Toc143518405"/>
            <w:bookmarkStart w:id="78" w:name="_Toc143677761"/>
            <w:bookmarkStart w:id="79" w:name="_Toc217377188"/>
            <w:r w:rsidRPr="001A44AD">
              <w:rPr>
                <w:b/>
                <w:sz w:val="22"/>
                <w:szCs w:val="22"/>
                <w:lang w:eastAsia="en-US"/>
              </w:rPr>
              <w:lastRenderedPageBreak/>
              <w:t>2</w:t>
            </w:r>
            <w:r w:rsidR="00C264CF" w:rsidRPr="001A44AD">
              <w:rPr>
                <w:b/>
                <w:sz w:val="22"/>
                <w:szCs w:val="22"/>
                <w:lang w:eastAsia="en-US"/>
              </w:rPr>
              <w:t>1 straipsnis. G</w:t>
            </w:r>
            <w:r w:rsidRPr="001A44AD">
              <w:rPr>
                <w:b/>
                <w:sz w:val="22"/>
                <w:szCs w:val="22"/>
                <w:lang w:eastAsia="en-US"/>
              </w:rPr>
              <w:t>inčai ir arbitražas</w:t>
            </w:r>
            <w:bookmarkEnd w:id="74"/>
            <w:bookmarkEnd w:id="75"/>
            <w:bookmarkEnd w:id="76"/>
            <w:bookmarkEnd w:id="77"/>
            <w:bookmarkEnd w:id="78"/>
            <w:bookmarkEnd w:id="79"/>
          </w:p>
        </w:tc>
      </w:tr>
      <w:tr w:rsidR="007B59DF" w:rsidRPr="001A44AD" w14:paraId="7AB608A1"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33EC03AE" w14:textId="77777777" w:rsidR="007B59DF" w:rsidRPr="001A44AD" w:rsidRDefault="00C264CF" w:rsidP="007B59DF">
            <w:pPr>
              <w:autoSpaceDN w:val="0"/>
              <w:rPr>
                <w:b/>
                <w:sz w:val="22"/>
                <w:szCs w:val="22"/>
              </w:rPr>
            </w:pPr>
            <w:r w:rsidRPr="001A44AD">
              <w:rPr>
                <w:b/>
                <w:spacing w:val="-2"/>
                <w:sz w:val="22"/>
                <w:szCs w:val="22"/>
              </w:rPr>
              <w:t>21.1</w:t>
            </w:r>
            <w:r w:rsidR="007B59DF" w:rsidRPr="001A44AD">
              <w:rPr>
                <w:b/>
                <w:spacing w:val="-2"/>
                <w:sz w:val="22"/>
                <w:szCs w:val="22"/>
              </w:rPr>
              <w:t xml:space="preserve"> </w:t>
            </w:r>
            <w:r w:rsidRPr="001A44AD">
              <w:rPr>
                <w:b/>
                <w:spacing w:val="-2"/>
                <w:sz w:val="22"/>
                <w:szCs w:val="22"/>
              </w:rPr>
              <w:t xml:space="preserve">-21.8. </w:t>
            </w:r>
            <w:r w:rsidRPr="001A44AD">
              <w:rPr>
                <w:b/>
                <w:sz w:val="22"/>
                <w:szCs w:val="22"/>
              </w:rPr>
              <w:t>punktai</w:t>
            </w:r>
          </w:p>
        </w:tc>
        <w:tc>
          <w:tcPr>
            <w:tcW w:w="8675" w:type="dxa"/>
            <w:tcBorders>
              <w:top w:val="single" w:sz="4" w:space="0" w:color="auto"/>
              <w:left w:val="single" w:sz="4" w:space="0" w:color="auto"/>
              <w:bottom w:val="single" w:sz="4" w:space="0" w:color="auto"/>
              <w:right w:val="single" w:sz="4" w:space="0" w:color="auto"/>
            </w:tcBorders>
            <w:hideMark/>
          </w:tcPr>
          <w:p w14:paraId="0055E81B" w14:textId="77777777" w:rsidR="007B59DF" w:rsidRPr="001A44AD" w:rsidRDefault="007B59DF" w:rsidP="007B59DF">
            <w:pPr>
              <w:autoSpaceDN w:val="0"/>
              <w:rPr>
                <w:b/>
                <w:spacing w:val="-2"/>
                <w:sz w:val="22"/>
                <w:szCs w:val="22"/>
              </w:rPr>
            </w:pPr>
            <w:bookmarkStart w:id="80" w:name="gincu_nagrinejimo_komisijos_paskyrimas"/>
            <w:r w:rsidRPr="001A44AD">
              <w:rPr>
                <w:b/>
                <w:spacing w:val="-2"/>
                <w:sz w:val="22"/>
                <w:szCs w:val="22"/>
              </w:rPr>
              <w:t>Gin</w:t>
            </w:r>
            <w:bookmarkEnd w:id="80"/>
            <w:r w:rsidR="00C264CF" w:rsidRPr="001A44AD">
              <w:rPr>
                <w:b/>
                <w:spacing w:val="-2"/>
                <w:sz w:val="22"/>
                <w:szCs w:val="22"/>
              </w:rPr>
              <w:t>čai ir arbitražas</w:t>
            </w:r>
          </w:p>
        </w:tc>
      </w:tr>
      <w:tr w:rsidR="007B59DF" w:rsidRPr="001A44AD" w14:paraId="74617302"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34760ADE"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2F8BAA9C" w14:textId="77777777" w:rsidR="00C264CF" w:rsidRPr="001A44AD" w:rsidRDefault="00C264CF" w:rsidP="007B59DF">
            <w:pPr>
              <w:suppressLineNumbers/>
              <w:tabs>
                <w:tab w:val="left" w:pos="-720"/>
              </w:tabs>
              <w:suppressAutoHyphens/>
              <w:ind w:right="57"/>
              <w:jc w:val="both"/>
              <w:rPr>
                <w:b/>
                <w:bCs/>
                <w:i/>
                <w:spacing w:val="-2"/>
                <w:sz w:val="22"/>
                <w:szCs w:val="22"/>
              </w:rPr>
            </w:pPr>
          </w:p>
          <w:p w14:paraId="1C1CF2D9" w14:textId="77777777" w:rsidR="007B59DF" w:rsidRPr="001A44AD" w:rsidRDefault="00C264CF" w:rsidP="007B59DF">
            <w:pPr>
              <w:suppressLineNumbers/>
              <w:tabs>
                <w:tab w:val="left" w:pos="-720"/>
              </w:tabs>
              <w:suppressAutoHyphens/>
              <w:ind w:right="57"/>
              <w:jc w:val="both"/>
              <w:rPr>
                <w:b/>
                <w:bCs/>
                <w:i/>
                <w:spacing w:val="-2"/>
                <w:sz w:val="22"/>
                <w:szCs w:val="22"/>
              </w:rPr>
            </w:pPr>
            <w:r w:rsidRPr="001A44AD">
              <w:rPr>
                <w:b/>
                <w:bCs/>
                <w:i/>
                <w:spacing w:val="-2"/>
                <w:sz w:val="22"/>
                <w:szCs w:val="22"/>
              </w:rPr>
              <w:t>Pakeisti 21</w:t>
            </w:r>
            <w:r w:rsidR="007B59DF" w:rsidRPr="001A44AD">
              <w:rPr>
                <w:b/>
                <w:bCs/>
                <w:i/>
                <w:spacing w:val="-2"/>
                <w:sz w:val="22"/>
                <w:szCs w:val="22"/>
              </w:rPr>
              <w:t>.</w:t>
            </w:r>
            <w:r w:rsidRPr="001A44AD">
              <w:rPr>
                <w:b/>
                <w:bCs/>
                <w:i/>
                <w:spacing w:val="-2"/>
                <w:sz w:val="22"/>
                <w:szCs w:val="22"/>
              </w:rPr>
              <w:t>1 -</w:t>
            </w:r>
            <w:r w:rsidR="00923E64" w:rsidRPr="001A44AD">
              <w:rPr>
                <w:b/>
                <w:bCs/>
                <w:i/>
                <w:spacing w:val="-2"/>
                <w:sz w:val="22"/>
                <w:szCs w:val="22"/>
              </w:rPr>
              <w:t xml:space="preserve"> </w:t>
            </w:r>
            <w:r w:rsidRPr="001A44AD">
              <w:rPr>
                <w:b/>
                <w:bCs/>
                <w:i/>
                <w:spacing w:val="-2"/>
                <w:sz w:val="22"/>
                <w:szCs w:val="22"/>
              </w:rPr>
              <w:t>21.8. punktus ir išdėstyti juos taip</w:t>
            </w:r>
            <w:r w:rsidR="007B59DF" w:rsidRPr="001A44AD">
              <w:rPr>
                <w:b/>
                <w:bCs/>
                <w:i/>
                <w:spacing w:val="-2"/>
                <w:sz w:val="22"/>
                <w:szCs w:val="22"/>
              </w:rPr>
              <w:t>:</w:t>
            </w:r>
          </w:p>
          <w:p w14:paraId="1D9D2FF2" w14:textId="77777777" w:rsidR="00C264CF" w:rsidRPr="001A44AD" w:rsidRDefault="00C264CF" w:rsidP="007B59DF">
            <w:pPr>
              <w:suppressLineNumbers/>
              <w:tabs>
                <w:tab w:val="left" w:pos="-720"/>
              </w:tabs>
              <w:suppressAutoHyphens/>
              <w:ind w:right="57"/>
              <w:jc w:val="both"/>
              <w:rPr>
                <w:b/>
                <w:bCs/>
                <w:i/>
                <w:spacing w:val="-2"/>
                <w:sz w:val="22"/>
                <w:szCs w:val="22"/>
              </w:rPr>
            </w:pPr>
          </w:p>
          <w:p w14:paraId="32452AD6"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Bet kokie ginčai, nesutarimai ar reikalavimai, kylantys iš Sutarties arba susiję su Sutartimi, jos pažeidimu, nutraukimu ar galiojimu, visų pirma privalo būti sprendžiami derybomis tarp Šalių vadovų.</w:t>
            </w:r>
          </w:p>
          <w:p w14:paraId="22891801"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Bet kuri Šalis gali inicijuoti ginčą, išsiųsdama pretenziją kitos Šalies vadovui. Pretenzijoje turi būti nurodyta, kad ji teikiama pagal šį straipsnį.</w:t>
            </w:r>
          </w:p>
          <w:p w14:paraId="006AA40D"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 xml:space="preserve">Abi Šalys turi nedelsdamos suteikti abiejų Šalių vadovams visą informaciją, kurios, nagrinėjant ginčą, gali prireikti Šalių vadovams, kad jie galėtų priimti sprendimą kilusiame ginče. </w:t>
            </w:r>
          </w:p>
          <w:p w14:paraId="1624375B"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Abiejų Šalių vadovai turi susitarti dėl ginčo išsprendimo. Šalių vadovų priimtas bendras sprendimas yra privalomas Šalims ir Šalys privalo nedelsdamos jį vykdyti.</w:t>
            </w:r>
          </w:p>
          <w:p w14:paraId="066C4D1E"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Jeigu Šalys taikiai neišsprendžia ginčo per 30 dienų (arba per kitą Šalių sutartą terminą) po to, kai Šalis gauna kitos Šalies pretenziją pagal šį straipsnį, arba jeigu viena iš Šalių nevykdo Šalių vadovų sprendimo, arba jeigu nepradedamos Šalių vadovų derybos, Šalys privalo bandyti išspręsti ginčą mediacijos būdu.</w:t>
            </w:r>
          </w:p>
          <w:p w14:paraId="03D73994"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Bet kuri Šalis turi teisę inicijuoti mediacijos procedūrą pagal Lietuvos Respublikos mediacijos įstatymą, išsiųsdama atitinkamą pranešimą kitos Šalies vadovui su pasiūlymu dėl mediatoriaus kandidatūros (ar kelių alternatyvių kandidatūrų). Šalys turi raštu susitarti dėl mediatoriaus kandidatūros kaip galima greičiau, bet ne vėliau nei per 21 dieną po to, kai Šalis gauna kitos Šalies pranešimą su pasiūlymu dėl mediatoriaus kandidatūros.</w:t>
            </w:r>
          </w:p>
          <w:p w14:paraId="72C88B09"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Jeigu Šalys per nustatytą terminą nesusitaria dėl mediatoriaus kandidatūros, arba neišsprendžia ginčo mediacijos būdu (nesudaro taikos sutarties) per 90 dienų (arba per kitą Šalių sutartą terminą) po to, kai Šalys raštu susitaria dėl mediatoriaus kandidatūros, arba jei Šalis nevykdo Šalių sudarytos taikos sutarties, tuomet toks ginčas, nesutarimas ar reikalavimas, kylantis iš šios Sutarties arba susijęs su ja, ar jos pažeidimu, nutraukimu arba negaliojimu, yra galutinai sprendžiamas Lietuvos Respublikos teismuose.</w:t>
            </w:r>
          </w:p>
          <w:p w14:paraId="128ADD88" w14:textId="77777777" w:rsidR="007B59DF" w:rsidRPr="001A44AD" w:rsidRDefault="00C264CF" w:rsidP="00FC3118">
            <w:pPr>
              <w:widowControl w:val="0"/>
              <w:tabs>
                <w:tab w:val="left" w:pos="567"/>
                <w:tab w:val="left" w:pos="851"/>
                <w:tab w:val="left" w:pos="992"/>
                <w:tab w:val="left" w:pos="1134"/>
              </w:tabs>
              <w:spacing w:before="96" w:after="96" w:line="259" w:lineRule="auto"/>
              <w:jc w:val="both"/>
              <w:rPr>
                <w:b/>
                <w:bCs/>
                <w:color w:val="FF0000"/>
                <w:spacing w:val="-2"/>
                <w:sz w:val="22"/>
                <w:szCs w:val="22"/>
              </w:rPr>
            </w:pPr>
            <w:r w:rsidRPr="001A44AD">
              <w:rPr>
                <w:sz w:val="22"/>
                <w:szCs w:val="22"/>
              </w:rPr>
              <w:t>Kilę ginčai nesudaro pagrindo Šalims atsisakyti vykdyti savo prievoles pagal Sutartį.</w:t>
            </w:r>
            <w:r w:rsidR="007B59DF" w:rsidRPr="001A44AD">
              <w:rPr>
                <w:color w:val="FF0000"/>
                <w:spacing w:val="-2"/>
                <w:sz w:val="22"/>
                <w:szCs w:val="22"/>
              </w:rPr>
              <w:t>.</w:t>
            </w:r>
          </w:p>
        </w:tc>
      </w:tr>
    </w:tbl>
    <w:p w14:paraId="5986144D" w14:textId="77777777" w:rsidR="00D41484" w:rsidRDefault="00D41484"/>
    <w:p w14:paraId="07C5C27D" w14:textId="77777777" w:rsidR="00FC3118" w:rsidRDefault="00EE7718">
      <w:pPr>
        <w:rPr>
          <w:sz w:val="22"/>
        </w:rPr>
      </w:pPr>
      <w:r w:rsidRPr="00D15308">
        <w:rPr>
          <w:sz w:val="22"/>
        </w:rPr>
        <w:t xml:space="preserve">Pridedama: </w:t>
      </w:r>
    </w:p>
    <w:p w14:paraId="48C2FA32" w14:textId="77777777" w:rsidR="00EE7718" w:rsidRDefault="00FC3118">
      <w:pPr>
        <w:rPr>
          <w:sz w:val="22"/>
        </w:rPr>
      </w:pPr>
      <w:r>
        <w:rPr>
          <w:sz w:val="22"/>
        </w:rPr>
        <w:t xml:space="preserve">1. </w:t>
      </w:r>
      <w:r w:rsidR="00EE7718" w:rsidRPr="00D15308">
        <w:rPr>
          <w:sz w:val="22"/>
        </w:rPr>
        <w:t>S</w:t>
      </w:r>
      <w:r>
        <w:rPr>
          <w:sz w:val="22"/>
        </w:rPr>
        <w:t>ubrangovų sąrašo forma;</w:t>
      </w:r>
    </w:p>
    <w:p w14:paraId="7B052042" w14:textId="77777777" w:rsidR="00FC3118" w:rsidRPr="00D15308" w:rsidRDefault="00FC3118">
      <w:pPr>
        <w:rPr>
          <w:sz w:val="22"/>
        </w:rPr>
      </w:pPr>
      <w:r>
        <w:rPr>
          <w:sz w:val="22"/>
        </w:rPr>
        <w:t>2. Specialistų sąrašas.</w:t>
      </w:r>
    </w:p>
    <w:sectPr w:rsidR="00FC3118" w:rsidRPr="00D15308" w:rsidSect="00165BC5">
      <w:footnotePr>
        <w:numRestart w:val="eachPage"/>
      </w:footnotePr>
      <w:pgSz w:w="11907" w:h="16840" w:code="9"/>
      <w:pgMar w:top="1247" w:right="851" w:bottom="1021" w:left="567" w:header="567" w:footer="970" w:gutter="567"/>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C3E3" w14:textId="77777777" w:rsidR="001452F5" w:rsidRDefault="001452F5" w:rsidP="00165BC5">
      <w:r>
        <w:separator/>
      </w:r>
    </w:p>
  </w:endnote>
  <w:endnote w:type="continuationSeparator" w:id="0">
    <w:p w14:paraId="268E9B10" w14:textId="77777777" w:rsidR="001452F5" w:rsidRDefault="001452F5" w:rsidP="0016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019B" w14:textId="77777777" w:rsidR="001452F5" w:rsidRDefault="001452F5" w:rsidP="00165BC5">
      <w:r>
        <w:separator/>
      </w:r>
    </w:p>
  </w:footnote>
  <w:footnote w:type="continuationSeparator" w:id="0">
    <w:p w14:paraId="063EA31A" w14:textId="77777777" w:rsidR="001452F5" w:rsidRDefault="001452F5" w:rsidP="0016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CAF"/>
    <w:multiLevelType w:val="hybridMultilevel"/>
    <w:tmpl w:val="ACF232D8"/>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35B59"/>
    <w:multiLevelType w:val="multilevel"/>
    <w:tmpl w:val="D19036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sz w:val="22"/>
        <w:szCs w:val="22"/>
      </w:rPr>
    </w:lvl>
    <w:lvl w:ilvl="3">
      <w:start w:val="1"/>
      <w:numFmt w:val="decimal"/>
      <w:isLgl/>
      <w:lvlText w:val="%1.%2.%3.%4."/>
      <w:lvlJc w:val="left"/>
      <w:pPr>
        <w:ind w:left="2160" w:hanging="720"/>
      </w:pPr>
      <w:rPr>
        <w:rFonts w:hint="default"/>
        <w:sz w:val="22"/>
        <w:szCs w:val="22"/>
      </w:rPr>
    </w:lvl>
    <w:lvl w:ilvl="4">
      <w:start w:val="1"/>
      <w:numFmt w:val="decimal"/>
      <w:isLgl/>
      <w:lvlText w:val="%1.%2.%3.%4.%5."/>
      <w:lvlJc w:val="left"/>
      <w:pPr>
        <w:ind w:left="2880" w:hanging="1080"/>
      </w:pPr>
      <w:rPr>
        <w:rFonts w:hint="default"/>
        <w:sz w:val="22"/>
        <w:szCs w:val="22"/>
      </w:rPr>
    </w:lvl>
    <w:lvl w:ilvl="5">
      <w:start w:val="1"/>
      <w:numFmt w:val="decimal"/>
      <w:isLgl/>
      <w:lvlText w:val="%1.%2.%3.%4.%5.%6."/>
      <w:lvlJc w:val="left"/>
      <w:pPr>
        <w:ind w:left="3240" w:hanging="1080"/>
      </w:pPr>
      <w:rPr>
        <w:rFonts w:hint="default"/>
        <w:sz w:val="22"/>
        <w:szCs w:val="22"/>
      </w:rPr>
    </w:lvl>
    <w:lvl w:ilvl="6">
      <w:start w:val="1"/>
      <w:numFmt w:val="decimal"/>
      <w:isLgl/>
      <w:lvlText w:val="%1.%2.%3.%4.%5.%6.%7."/>
      <w:lvlJc w:val="left"/>
      <w:pPr>
        <w:ind w:left="3600" w:hanging="1080"/>
      </w:pPr>
      <w:rPr>
        <w:rFonts w:hint="default"/>
        <w:sz w:val="22"/>
        <w:szCs w:val="22"/>
      </w:rPr>
    </w:lvl>
    <w:lvl w:ilvl="7">
      <w:start w:val="1"/>
      <w:numFmt w:val="decimal"/>
      <w:isLgl/>
      <w:lvlText w:val="%1.%2.%3.%4.%5.%6.%7.%8."/>
      <w:lvlJc w:val="left"/>
      <w:pPr>
        <w:ind w:left="4320" w:hanging="1440"/>
      </w:pPr>
      <w:rPr>
        <w:rFonts w:hint="default"/>
        <w:sz w:val="22"/>
        <w:szCs w:val="22"/>
      </w:rPr>
    </w:lvl>
    <w:lvl w:ilvl="8">
      <w:start w:val="1"/>
      <w:numFmt w:val="decimal"/>
      <w:isLgl/>
      <w:lvlText w:val="%1.%2.%3.%4.%5.%6.%7.%8.%9."/>
      <w:lvlJc w:val="left"/>
      <w:pPr>
        <w:ind w:left="4680" w:hanging="1440"/>
      </w:pPr>
      <w:rPr>
        <w:rFonts w:hint="default"/>
        <w:sz w:val="22"/>
        <w:szCs w:val="22"/>
      </w:rPr>
    </w:lvl>
  </w:abstractNum>
  <w:abstractNum w:abstractNumId="2" w15:restartNumberingAfterBreak="0">
    <w:nsid w:val="09A11C0E"/>
    <w:multiLevelType w:val="hybridMultilevel"/>
    <w:tmpl w:val="93E8D644"/>
    <w:lvl w:ilvl="0" w:tplc="B024CD5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A7938"/>
    <w:multiLevelType w:val="hybridMultilevel"/>
    <w:tmpl w:val="2228DEAC"/>
    <w:lvl w:ilvl="0" w:tplc="DFC40070">
      <w:start w:val="1"/>
      <w:numFmt w:val="lowerLetter"/>
      <w:lvlText w:val="(%1)"/>
      <w:lvlJc w:val="left"/>
      <w:pPr>
        <w:ind w:left="720" w:hanging="360"/>
      </w:pPr>
    </w:lvl>
    <w:lvl w:ilvl="1" w:tplc="F22401EE">
      <w:start w:val="1"/>
      <w:numFmt w:val="lowerRoman"/>
      <w:lvlText w:val="%2."/>
      <w:lvlJc w:val="left"/>
      <w:pPr>
        <w:ind w:left="1800" w:hanging="72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F71E41"/>
    <w:multiLevelType w:val="hybridMultilevel"/>
    <w:tmpl w:val="2B581838"/>
    <w:lvl w:ilvl="0" w:tplc="82D0FA6C">
      <w:start w:val="1"/>
      <w:numFmt w:val="lowerLetter"/>
      <w:lvlText w:val="(%1)"/>
      <w:lvlJc w:val="left"/>
      <w:pPr>
        <w:ind w:left="786"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FE5E1F"/>
    <w:multiLevelType w:val="multilevel"/>
    <w:tmpl w:val="33906EE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lowerRoman"/>
      <w:lvlText w:val="%4."/>
      <w:lvlJc w:val="right"/>
      <w:pPr>
        <w:ind w:left="0" w:firstLine="0"/>
      </w:pPr>
      <w:rPr>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2683235"/>
    <w:multiLevelType w:val="multilevel"/>
    <w:tmpl w:val="ADF8A3F6"/>
    <w:lvl w:ilvl="0">
      <w:start w:val="1"/>
      <w:numFmt w:val="decimal"/>
      <w:lvlText w:val="%1."/>
      <w:lvlJc w:val="left"/>
      <w:pPr>
        <w:ind w:left="360" w:hanging="360"/>
      </w:pPr>
    </w:lvl>
    <w:lvl w:ilvl="1">
      <w:start w:val="1"/>
      <w:numFmt w:val="decimal"/>
      <w:lvlText w:val="%1.%2."/>
      <w:lvlJc w:val="left"/>
      <w:pPr>
        <w:ind w:left="22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90503"/>
    <w:multiLevelType w:val="hybridMultilevel"/>
    <w:tmpl w:val="E328F0B8"/>
    <w:lvl w:ilvl="0" w:tplc="DFC40070">
      <w:start w:val="1"/>
      <w:numFmt w:val="lowerLetter"/>
      <w:lvlText w:val="(%1)"/>
      <w:lvlJc w:val="left"/>
      <w:pPr>
        <w:ind w:left="720" w:hanging="360"/>
      </w:pPr>
    </w:lvl>
    <w:lvl w:ilvl="1" w:tplc="DFC4007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9416CE"/>
    <w:multiLevelType w:val="multilevel"/>
    <w:tmpl w:val="4E1ABA0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20"/>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2B8F37B4"/>
    <w:multiLevelType w:val="hybridMultilevel"/>
    <w:tmpl w:val="4920B976"/>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EB6175"/>
    <w:multiLevelType w:val="hybridMultilevel"/>
    <w:tmpl w:val="1F1CFF8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CF5E4C"/>
    <w:multiLevelType w:val="hybridMultilevel"/>
    <w:tmpl w:val="A6A47F4C"/>
    <w:lvl w:ilvl="0" w:tplc="0427001B">
      <w:start w:val="1"/>
      <w:numFmt w:val="lowerRoman"/>
      <w:lvlText w:val="%1."/>
      <w:lvlJc w:val="righ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FA7799"/>
    <w:multiLevelType w:val="hybridMultilevel"/>
    <w:tmpl w:val="195A177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33386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D32AF5"/>
    <w:multiLevelType w:val="multilevel"/>
    <w:tmpl w:val="4D0AE7B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60D357D"/>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C756B70"/>
    <w:multiLevelType w:val="hybridMultilevel"/>
    <w:tmpl w:val="AD1CA890"/>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860E97"/>
    <w:multiLevelType w:val="hybridMultilevel"/>
    <w:tmpl w:val="BEB470F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4F208FE"/>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599F5F3C"/>
    <w:multiLevelType w:val="multilevel"/>
    <w:tmpl w:val="D19036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sz w:val="22"/>
      </w:rPr>
    </w:lvl>
    <w:lvl w:ilvl="2">
      <w:start w:val="1"/>
      <w:numFmt w:val="decimal"/>
      <w:isLgl/>
      <w:lvlText w:val="%1.%2.%3."/>
      <w:lvlJc w:val="left"/>
      <w:pPr>
        <w:ind w:left="1800" w:hanging="720"/>
      </w:pPr>
      <w:rPr>
        <w:rFonts w:cs="Times New Roman" w:hint="default"/>
        <w:sz w:val="22"/>
      </w:rPr>
    </w:lvl>
    <w:lvl w:ilvl="3">
      <w:start w:val="1"/>
      <w:numFmt w:val="decimal"/>
      <w:isLgl/>
      <w:lvlText w:val="%1.%2.%3.%4."/>
      <w:lvlJc w:val="left"/>
      <w:pPr>
        <w:ind w:left="2160" w:hanging="720"/>
      </w:pPr>
      <w:rPr>
        <w:rFonts w:cs="Times New Roman" w:hint="default"/>
        <w:sz w:val="22"/>
      </w:rPr>
    </w:lvl>
    <w:lvl w:ilvl="4">
      <w:start w:val="1"/>
      <w:numFmt w:val="decimal"/>
      <w:isLgl/>
      <w:lvlText w:val="%1.%2.%3.%4.%5."/>
      <w:lvlJc w:val="left"/>
      <w:pPr>
        <w:ind w:left="2880" w:hanging="1080"/>
      </w:pPr>
      <w:rPr>
        <w:rFonts w:cs="Times New Roman" w:hint="default"/>
        <w:sz w:val="22"/>
      </w:rPr>
    </w:lvl>
    <w:lvl w:ilvl="5">
      <w:start w:val="1"/>
      <w:numFmt w:val="decimal"/>
      <w:isLgl/>
      <w:lvlText w:val="%1.%2.%3.%4.%5.%6."/>
      <w:lvlJc w:val="left"/>
      <w:pPr>
        <w:ind w:left="3240" w:hanging="1080"/>
      </w:pPr>
      <w:rPr>
        <w:rFonts w:cs="Times New Roman" w:hint="default"/>
        <w:sz w:val="22"/>
      </w:rPr>
    </w:lvl>
    <w:lvl w:ilvl="6">
      <w:start w:val="1"/>
      <w:numFmt w:val="decimal"/>
      <w:isLgl/>
      <w:lvlText w:val="%1.%2.%3.%4.%5.%6.%7."/>
      <w:lvlJc w:val="left"/>
      <w:pPr>
        <w:ind w:left="3600" w:hanging="1080"/>
      </w:pPr>
      <w:rPr>
        <w:rFonts w:cs="Times New Roman" w:hint="default"/>
        <w:sz w:val="22"/>
      </w:rPr>
    </w:lvl>
    <w:lvl w:ilvl="7">
      <w:start w:val="1"/>
      <w:numFmt w:val="decimal"/>
      <w:isLgl/>
      <w:lvlText w:val="%1.%2.%3.%4.%5.%6.%7.%8."/>
      <w:lvlJc w:val="left"/>
      <w:pPr>
        <w:ind w:left="4320" w:hanging="1440"/>
      </w:pPr>
      <w:rPr>
        <w:rFonts w:cs="Times New Roman" w:hint="default"/>
        <w:sz w:val="22"/>
      </w:rPr>
    </w:lvl>
    <w:lvl w:ilvl="8">
      <w:start w:val="1"/>
      <w:numFmt w:val="decimal"/>
      <w:isLgl/>
      <w:lvlText w:val="%1.%2.%3.%4.%5.%6.%7.%8.%9."/>
      <w:lvlJc w:val="left"/>
      <w:pPr>
        <w:ind w:left="4680" w:hanging="1440"/>
      </w:pPr>
      <w:rPr>
        <w:rFonts w:cs="Times New Roman" w:hint="default"/>
        <w:sz w:val="22"/>
      </w:rPr>
    </w:lvl>
  </w:abstractNum>
  <w:abstractNum w:abstractNumId="20" w15:restartNumberingAfterBreak="0">
    <w:nsid w:val="5B786263"/>
    <w:multiLevelType w:val="hybridMultilevel"/>
    <w:tmpl w:val="AD1CA890"/>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22" w15:restartNumberingAfterBreak="0">
    <w:nsid w:val="5E1B6F22"/>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5F562088"/>
    <w:multiLevelType w:val="hybridMultilevel"/>
    <w:tmpl w:val="9A867B9A"/>
    <w:lvl w:ilvl="0" w:tplc="BE763B12">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5631BD8"/>
    <w:multiLevelType w:val="multilevel"/>
    <w:tmpl w:val="C2B05616"/>
    <w:lvl w:ilvl="0">
      <w:start w:val="68"/>
      <w:numFmt w:val="decimal"/>
      <w:lvlText w:val="%1."/>
      <w:lvlJc w:val="left"/>
      <w:pPr>
        <w:ind w:left="480" w:hanging="480"/>
      </w:pPr>
      <w:rPr>
        <w:rFonts w:hint="default"/>
      </w:rPr>
    </w:lvl>
    <w:lvl w:ilvl="1">
      <w:start w:val="6"/>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16cid:durableId="231432313">
    <w:abstractNumId w:val="21"/>
  </w:num>
  <w:num w:numId="2" w16cid:durableId="1332028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0603692">
    <w:abstractNumId w:val="13"/>
  </w:num>
  <w:num w:numId="4" w16cid:durableId="1603763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125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0626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72746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8405">
    <w:abstractNumId w:val="19"/>
  </w:num>
  <w:num w:numId="9" w16cid:durableId="781653940">
    <w:abstractNumId w:val="6"/>
  </w:num>
  <w:num w:numId="10" w16cid:durableId="1544517558">
    <w:abstractNumId w:val="23"/>
  </w:num>
  <w:num w:numId="11" w16cid:durableId="1573463076">
    <w:abstractNumId w:val="2"/>
  </w:num>
  <w:num w:numId="12" w16cid:durableId="314262004">
    <w:abstractNumId w:val="24"/>
  </w:num>
  <w:num w:numId="13" w16cid:durableId="688336324">
    <w:abstractNumId w:val="15"/>
  </w:num>
  <w:num w:numId="14" w16cid:durableId="2088383635">
    <w:abstractNumId w:val="3"/>
  </w:num>
  <w:num w:numId="15" w16cid:durableId="332605096">
    <w:abstractNumId w:val="7"/>
  </w:num>
  <w:num w:numId="16" w16cid:durableId="861287306">
    <w:abstractNumId w:val="10"/>
  </w:num>
  <w:num w:numId="17" w16cid:durableId="1565097742">
    <w:abstractNumId w:val="22"/>
  </w:num>
  <w:num w:numId="18" w16cid:durableId="290403671">
    <w:abstractNumId w:val="18"/>
  </w:num>
  <w:num w:numId="19" w16cid:durableId="1781535254">
    <w:abstractNumId w:val="12"/>
  </w:num>
  <w:num w:numId="20" w16cid:durableId="82993407">
    <w:abstractNumId w:val="17"/>
  </w:num>
  <w:num w:numId="21" w16cid:durableId="834422700">
    <w:abstractNumId w:val="8"/>
  </w:num>
  <w:num w:numId="22" w16cid:durableId="1570850307">
    <w:abstractNumId w:val="14"/>
  </w:num>
  <w:num w:numId="23" w16cid:durableId="65492867">
    <w:abstractNumId w:val="5"/>
  </w:num>
  <w:num w:numId="24" w16cid:durableId="1137379748">
    <w:abstractNumId w:val="9"/>
  </w:num>
  <w:num w:numId="25" w16cid:durableId="866142454">
    <w:abstractNumId w:val="0"/>
  </w:num>
  <w:num w:numId="26" w16cid:durableId="1656758976">
    <w:abstractNumId w:val="16"/>
  </w:num>
  <w:num w:numId="27" w16cid:durableId="303581902">
    <w:abstractNumId w:val="20"/>
  </w:num>
  <w:num w:numId="28" w16cid:durableId="2129423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C5"/>
    <w:rsid w:val="000018CD"/>
    <w:rsid w:val="00004A92"/>
    <w:rsid w:val="00006647"/>
    <w:rsid w:val="00013434"/>
    <w:rsid w:val="00051A0A"/>
    <w:rsid w:val="0005433E"/>
    <w:rsid w:val="00055C46"/>
    <w:rsid w:val="00080DFE"/>
    <w:rsid w:val="00087BA0"/>
    <w:rsid w:val="000A2204"/>
    <w:rsid w:val="000C490C"/>
    <w:rsid w:val="000C7720"/>
    <w:rsid w:val="000E4DF6"/>
    <w:rsid w:val="000E5459"/>
    <w:rsid w:val="000F6450"/>
    <w:rsid w:val="00105254"/>
    <w:rsid w:val="00116353"/>
    <w:rsid w:val="00122243"/>
    <w:rsid w:val="00123705"/>
    <w:rsid w:val="00124E32"/>
    <w:rsid w:val="00127715"/>
    <w:rsid w:val="00135D43"/>
    <w:rsid w:val="001452F5"/>
    <w:rsid w:val="001465BE"/>
    <w:rsid w:val="00164660"/>
    <w:rsid w:val="00165BC5"/>
    <w:rsid w:val="001831C3"/>
    <w:rsid w:val="00183965"/>
    <w:rsid w:val="00192174"/>
    <w:rsid w:val="001A030B"/>
    <w:rsid w:val="001A44AD"/>
    <w:rsid w:val="001C22EA"/>
    <w:rsid w:val="001C29A8"/>
    <w:rsid w:val="001D7370"/>
    <w:rsid w:val="001E3C70"/>
    <w:rsid w:val="001F7F21"/>
    <w:rsid w:val="00203428"/>
    <w:rsid w:val="002277BC"/>
    <w:rsid w:val="00230EB8"/>
    <w:rsid w:val="0026010F"/>
    <w:rsid w:val="00281E9C"/>
    <w:rsid w:val="00285797"/>
    <w:rsid w:val="00285ACE"/>
    <w:rsid w:val="00292AF8"/>
    <w:rsid w:val="002A1439"/>
    <w:rsid w:val="002A5F1C"/>
    <w:rsid w:val="002C2466"/>
    <w:rsid w:val="002D5AED"/>
    <w:rsid w:val="002D6A96"/>
    <w:rsid w:val="002D6FBB"/>
    <w:rsid w:val="002F05CA"/>
    <w:rsid w:val="002F11C8"/>
    <w:rsid w:val="00300B83"/>
    <w:rsid w:val="003113DE"/>
    <w:rsid w:val="00317A62"/>
    <w:rsid w:val="00325BD9"/>
    <w:rsid w:val="0033114C"/>
    <w:rsid w:val="0034389C"/>
    <w:rsid w:val="00344949"/>
    <w:rsid w:val="003457F6"/>
    <w:rsid w:val="00365AA8"/>
    <w:rsid w:val="00365D58"/>
    <w:rsid w:val="0037105D"/>
    <w:rsid w:val="00381BF0"/>
    <w:rsid w:val="003868E1"/>
    <w:rsid w:val="003900AD"/>
    <w:rsid w:val="00394B7B"/>
    <w:rsid w:val="00395336"/>
    <w:rsid w:val="003B02A5"/>
    <w:rsid w:val="003B478F"/>
    <w:rsid w:val="003C020F"/>
    <w:rsid w:val="003E235B"/>
    <w:rsid w:val="003F5771"/>
    <w:rsid w:val="00402ECE"/>
    <w:rsid w:val="004054A7"/>
    <w:rsid w:val="004104DE"/>
    <w:rsid w:val="00424DF0"/>
    <w:rsid w:val="004269B2"/>
    <w:rsid w:val="00441391"/>
    <w:rsid w:val="0044328D"/>
    <w:rsid w:val="0047219D"/>
    <w:rsid w:val="00491829"/>
    <w:rsid w:val="00492B81"/>
    <w:rsid w:val="00492B93"/>
    <w:rsid w:val="00494D06"/>
    <w:rsid w:val="004954FE"/>
    <w:rsid w:val="004A6939"/>
    <w:rsid w:val="004B4334"/>
    <w:rsid w:val="004D0467"/>
    <w:rsid w:val="004D2DFB"/>
    <w:rsid w:val="004D3125"/>
    <w:rsid w:val="004D5857"/>
    <w:rsid w:val="004E5C2A"/>
    <w:rsid w:val="004F37BB"/>
    <w:rsid w:val="00511919"/>
    <w:rsid w:val="0052531A"/>
    <w:rsid w:val="00527BFA"/>
    <w:rsid w:val="00542E1D"/>
    <w:rsid w:val="005449AA"/>
    <w:rsid w:val="005454D5"/>
    <w:rsid w:val="00552D28"/>
    <w:rsid w:val="00566A97"/>
    <w:rsid w:val="005721BD"/>
    <w:rsid w:val="0059629C"/>
    <w:rsid w:val="005B018E"/>
    <w:rsid w:val="005C120B"/>
    <w:rsid w:val="005D2A24"/>
    <w:rsid w:val="005D6970"/>
    <w:rsid w:val="005E756D"/>
    <w:rsid w:val="005F6677"/>
    <w:rsid w:val="00615195"/>
    <w:rsid w:val="006406BC"/>
    <w:rsid w:val="00640CF6"/>
    <w:rsid w:val="006646EC"/>
    <w:rsid w:val="006761A8"/>
    <w:rsid w:val="006817C9"/>
    <w:rsid w:val="00681E59"/>
    <w:rsid w:val="0068741A"/>
    <w:rsid w:val="006928C8"/>
    <w:rsid w:val="006A7FE5"/>
    <w:rsid w:val="006D0A2F"/>
    <w:rsid w:val="006D785C"/>
    <w:rsid w:val="006E48AC"/>
    <w:rsid w:val="006F1DA7"/>
    <w:rsid w:val="006F7739"/>
    <w:rsid w:val="007005BF"/>
    <w:rsid w:val="00700DD6"/>
    <w:rsid w:val="00701786"/>
    <w:rsid w:val="00725AF2"/>
    <w:rsid w:val="00730811"/>
    <w:rsid w:val="00734658"/>
    <w:rsid w:val="00737537"/>
    <w:rsid w:val="00740BBA"/>
    <w:rsid w:val="00750FCD"/>
    <w:rsid w:val="00770FBB"/>
    <w:rsid w:val="007734BB"/>
    <w:rsid w:val="007B59DF"/>
    <w:rsid w:val="007C1D14"/>
    <w:rsid w:val="007C20FD"/>
    <w:rsid w:val="007C7192"/>
    <w:rsid w:val="007E4D60"/>
    <w:rsid w:val="007E7EF4"/>
    <w:rsid w:val="00804B06"/>
    <w:rsid w:val="008063AB"/>
    <w:rsid w:val="0081239B"/>
    <w:rsid w:val="008269D5"/>
    <w:rsid w:val="00882842"/>
    <w:rsid w:val="008C2484"/>
    <w:rsid w:val="008C2A4E"/>
    <w:rsid w:val="008D02B6"/>
    <w:rsid w:val="008D0F6A"/>
    <w:rsid w:val="008D2957"/>
    <w:rsid w:val="00911905"/>
    <w:rsid w:val="00916F4F"/>
    <w:rsid w:val="00923E64"/>
    <w:rsid w:val="009407AC"/>
    <w:rsid w:val="00943DBD"/>
    <w:rsid w:val="00960627"/>
    <w:rsid w:val="00970F82"/>
    <w:rsid w:val="00975CFD"/>
    <w:rsid w:val="00992EF4"/>
    <w:rsid w:val="009C2EE2"/>
    <w:rsid w:val="009C4DC9"/>
    <w:rsid w:val="009D69AB"/>
    <w:rsid w:val="009D7629"/>
    <w:rsid w:val="00A02CAA"/>
    <w:rsid w:val="00A229C7"/>
    <w:rsid w:val="00A34429"/>
    <w:rsid w:val="00A550CE"/>
    <w:rsid w:val="00A56007"/>
    <w:rsid w:val="00A56108"/>
    <w:rsid w:val="00A87F3B"/>
    <w:rsid w:val="00A950D8"/>
    <w:rsid w:val="00A95132"/>
    <w:rsid w:val="00AA1CD9"/>
    <w:rsid w:val="00AC0023"/>
    <w:rsid w:val="00AF0FF7"/>
    <w:rsid w:val="00AF1B51"/>
    <w:rsid w:val="00AF468B"/>
    <w:rsid w:val="00B15BC9"/>
    <w:rsid w:val="00B2224D"/>
    <w:rsid w:val="00B26F15"/>
    <w:rsid w:val="00B32E60"/>
    <w:rsid w:val="00B44F2A"/>
    <w:rsid w:val="00B458E0"/>
    <w:rsid w:val="00B45D33"/>
    <w:rsid w:val="00B57090"/>
    <w:rsid w:val="00B72B87"/>
    <w:rsid w:val="00B805CD"/>
    <w:rsid w:val="00B81A88"/>
    <w:rsid w:val="00B834C4"/>
    <w:rsid w:val="00B901EA"/>
    <w:rsid w:val="00BB64A6"/>
    <w:rsid w:val="00BC731D"/>
    <w:rsid w:val="00BE6A7B"/>
    <w:rsid w:val="00BF2B02"/>
    <w:rsid w:val="00C167E1"/>
    <w:rsid w:val="00C264CF"/>
    <w:rsid w:val="00C46FD2"/>
    <w:rsid w:val="00C64CAB"/>
    <w:rsid w:val="00C72767"/>
    <w:rsid w:val="00C900A2"/>
    <w:rsid w:val="00CA033F"/>
    <w:rsid w:val="00CA0B2F"/>
    <w:rsid w:val="00CA5F69"/>
    <w:rsid w:val="00CB34B0"/>
    <w:rsid w:val="00CE12FC"/>
    <w:rsid w:val="00D15308"/>
    <w:rsid w:val="00D2378B"/>
    <w:rsid w:val="00D41484"/>
    <w:rsid w:val="00D6257B"/>
    <w:rsid w:val="00D855A7"/>
    <w:rsid w:val="00DA48AC"/>
    <w:rsid w:val="00DB6EBB"/>
    <w:rsid w:val="00DD39A3"/>
    <w:rsid w:val="00DE028B"/>
    <w:rsid w:val="00DE5867"/>
    <w:rsid w:val="00E27493"/>
    <w:rsid w:val="00E46315"/>
    <w:rsid w:val="00E46E67"/>
    <w:rsid w:val="00E54E76"/>
    <w:rsid w:val="00E60F95"/>
    <w:rsid w:val="00E67411"/>
    <w:rsid w:val="00E7684A"/>
    <w:rsid w:val="00E83920"/>
    <w:rsid w:val="00E8692E"/>
    <w:rsid w:val="00E92D68"/>
    <w:rsid w:val="00EB377C"/>
    <w:rsid w:val="00EB7C07"/>
    <w:rsid w:val="00EC49D7"/>
    <w:rsid w:val="00ED27E4"/>
    <w:rsid w:val="00EE25AC"/>
    <w:rsid w:val="00EE4AFA"/>
    <w:rsid w:val="00EE7718"/>
    <w:rsid w:val="00EF4C6C"/>
    <w:rsid w:val="00EF57B0"/>
    <w:rsid w:val="00F11B3F"/>
    <w:rsid w:val="00F21405"/>
    <w:rsid w:val="00F21D7F"/>
    <w:rsid w:val="00F267A9"/>
    <w:rsid w:val="00F351D7"/>
    <w:rsid w:val="00F37B9A"/>
    <w:rsid w:val="00F41FF6"/>
    <w:rsid w:val="00F470F1"/>
    <w:rsid w:val="00F83721"/>
    <w:rsid w:val="00F93119"/>
    <w:rsid w:val="00FB2619"/>
    <w:rsid w:val="00FC1517"/>
    <w:rsid w:val="00FC3118"/>
    <w:rsid w:val="00FD4321"/>
    <w:rsid w:val="00FE418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7D37"/>
  <w15:chartTrackingRefBased/>
  <w15:docId w15:val="{651F2816-18A4-448E-8C69-8BE6B4EE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C5"/>
    <w:rPr>
      <w:lang w:eastAsia="fi-FI"/>
    </w:rPr>
  </w:style>
  <w:style w:type="paragraph" w:styleId="Heading1">
    <w:name w:val="heading 1"/>
    <w:basedOn w:val="Normal"/>
    <w:next w:val="Normal"/>
    <w:link w:val="Heading1Char"/>
    <w:uiPriority w:val="9"/>
    <w:qFormat/>
    <w:rsid w:val="00165B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F95"/>
    <w:pPr>
      <w:keepNext/>
      <w:keepLines/>
      <w:pBdr>
        <w:top w:val="nil"/>
        <w:left w:val="nil"/>
        <w:bottom w:val="nil"/>
        <w:right w:val="nil"/>
        <w:between w:val="nil"/>
      </w:pBdr>
      <w:tabs>
        <w:tab w:val="left" w:pos="567"/>
        <w:tab w:val="left" w:pos="851"/>
        <w:tab w:val="left" w:pos="992"/>
        <w:tab w:val="left" w:pos="1134"/>
      </w:tabs>
      <w:spacing w:before="96" w:after="96"/>
      <w:jc w:val="both"/>
      <w:outlineLvl w:val="1"/>
    </w:pPr>
    <w:rPr>
      <w:rFonts w:ascii="Arial" w:eastAsia="Arial" w:hAnsi="Arial" w:cs="Arial"/>
      <w:b/>
      <w:color w:val="000000"/>
      <w:sz w:val="18"/>
      <w:szCs w:val="18"/>
      <w:lang w:eastAsia="en-US"/>
    </w:rPr>
  </w:style>
  <w:style w:type="paragraph" w:styleId="Heading3">
    <w:name w:val="heading 3"/>
    <w:basedOn w:val="Normal"/>
    <w:next w:val="Normal"/>
    <w:link w:val="Heading3Char"/>
    <w:uiPriority w:val="9"/>
    <w:unhideWhenUsed/>
    <w:qFormat/>
    <w:rsid w:val="00E60F95"/>
    <w:pPr>
      <w:keepNext/>
      <w:keepLines/>
      <w:pBdr>
        <w:top w:val="nil"/>
        <w:left w:val="nil"/>
        <w:bottom w:val="nil"/>
        <w:right w:val="nil"/>
        <w:between w:val="nil"/>
      </w:pBdr>
      <w:tabs>
        <w:tab w:val="left" w:pos="567"/>
        <w:tab w:val="left" w:pos="851"/>
        <w:tab w:val="left" w:pos="992"/>
        <w:tab w:val="left" w:pos="1134"/>
      </w:tabs>
      <w:spacing w:before="96" w:after="96"/>
      <w:jc w:val="both"/>
      <w:outlineLvl w:val="2"/>
    </w:pPr>
    <w:rPr>
      <w:rFonts w:ascii="Arial" w:eastAsia="Arial" w:hAnsi="Arial" w:cs="Arial"/>
      <w:color w:val="000000"/>
      <w:sz w:val="18"/>
      <w:szCs w:val="1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165BC5"/>
    <w:pPr>
      <w:keepNext/>
      <w:jc w:val="both"/>
    </w:pPr>
    <w:rPr>
      <w:sz w:val="22"/>
      <w:szCs w:val="22"/>
    </w:rPr>
  </w:style>
  <w:style w:type="character" w:styleId="Hyperlink">
    <w:name w:val="Hyperlink"/>
    <w:aliases w:val="Alna"/>
    <w:uiPriority w:val="99"/>
    <w:rsid w:val="00165BC5"/>
    <w:rPr>
      <w:color w:val="0000FF"/>
      <w:u w:val="single"/>
    </w:rPr>
  </w:style>
  <w:style w:type="character" w:styleId="FootnoteReference">
    <w:name w:val="footnote reference"/>
    <w:semiHidden/>
    <w:rsid w:val="00165BC5"/>
    <w:rPr>
      <w:vertAlign w:val="superscript"/>
    </w:rPr>
  </w:style>
  <w:style w:type="paragraph" w:customStyle="1" w:styleId="H1">
    <w:name w:val="H1"/>
    <w:basedOn w:val="Heading1"/>
    <w:rsid w:val="00165BC5"/>
    <w:pPr>
      <w:keepLines w:val="0"/>
      <w:numPr>
        <w:numId w:val="1"/>
      </w:numPr>
      <w:tabs>
        <w:tab w:val="clear" w:pos="1140"/>
        <w:tab w:val="num" w:pos="360"/>
      </w:tabs>
      <w:spacing w:before="0"/>
      <w:ind w:left="0" w:firstLine="0"/>
    </w:pPr>
    <w:rPr>
      <w:rFonts w:ascii="Times New Roman" w:eastAsia="Times New Roman" w:hAnsi="Times New Roman" w:cs="Times New Roman"/>
      <w:b/>
      <w:bCs/>
      <w:caps/>
      <w:color w:val="auto"/>
      <w:kern w:val="28"/>
      <w:sz w:val="28"/>
      <w:szCs w:val="28"/>
      <w:lang w:val="da-DK" w:eastAsia="en-US"/>
    </w:rPr>
  </w:style>
  <w:style w:type="paragraph" w:styleId="List">
    <w:name w:val="List"/>
    <w:basedOn w:val="Normal"/>
    <w:rsid w:val="00165BC5"/>
    <w:pPr>
      <w:ind w:left="283" w:hanging="283"/>
    </w:pPr>
    <w:rPr>
      <w:sz w:val="24"/>
      <w:szCs w:val="24"/>
      <w:lang w:val="en-GB" w:eastAsia="en-US"/>
    </w:rPr>
  </w:style>
  <w:style w:type="character" w:customStyle="1" w:styleId="FontStyle23">
    <w:name w:val="Font Style23"/>
    <w:uiPriority w:val="99"/>
    <w:rsid w:val="00165BC5"/>
    <w:rPr>
      <w:rFonts w:ascii="Times New Roman" w:hAnsi="Times New Roman" w:cs="Times New Roman"/>
      <w:sz w:val="20"/>
      <w:szCs w:val="20"/>
    </w:rPr>
  </w:style>
  <w:style w:type="character" w:customStyle="1" w:styleId="FontStyle18">
    <w:name w:val="Font Style18"/>
    <w:uiPriority w:val="99"/>
    <w:rsid w:val="00165BC5"/>
    <w:rPr>
      <w:rFonts w:ascii="Times New Roman" w:hAnsi="Times New Roman" w:cs="Times New Roman"/>
      <w:i/>
      <w:iCs/>
      <w:sz w:val="20"/>
      <w:szCs w:val="20"/>
    </w:rPr>
  </w:style>
  <w:style w:type="paragraph" w:styleId="ListParagraph">
    <w:name w:val="List Paragraph"/>
    <w:aliases w:val="Bullet EY"/>
    <w:basedOn w:val="Normal"/>
    <w:link w:val="ListParagraphChar"/>
    <w:uiPriority w:val="34"/>
    <w:qFormat/>
    <w:rsid w:val="00165BC5"/>
    <w:pPr>
      <w:spacing w:after="200" w:line="276" w:lineRule="auto"/>
      <w:ind w:left="720"/>
    </w:pPr>
    <w:rPr>
      <w:rFonts w:ascii="Calibri" w:hAnsi="Calibri" w:cs="Calibri"/>
      <w:sz w:val="22"/>
      <w:szCs w:val="22"/>
      <w:lang w:val="en-US" w:eastAsia="en-US"/>
    </w:rPr>
  </w:style>
  <w:style w:type="character" w:customStyle="1" w:styleId="ListParagraphChar">
    <w:name w:val="List Paragraph Char"/>
    <w:aliases w:val="Bullet EY Char"/>
    <w:link w:val="ListParagraph"/>
    <w:uiPriority w:val="34"/>
    <w:locked/>
    <w:rsid w:val="00165BC5"/>
    <w:rPr>
      <w:rFonts w:ascii="Calibri" w:hAnsi="Calibri" w:cs="Calibri"/>
      <w:sz w:val="22"/>
      <w:szCs w:val="22"/>
      <w:lang w:val="en-US" w:eastAsia="en-US"/>
    </w:rPr>
  </w:style>
  <w:style w:type="character" w:customStyle="1" w:styleId="Heading1Char">
    <w:name w:val="Heading 1 Char"/>
    <w:basedOn w:val="DefaultParagraphFont"/>
    <w:link w:val="Heading1"/>
    <w:uiPriority w:val="9"/>
    <w:rsid w:val="00165BC5"/>
    <w:rPr>
      <w:rFonts w:asciiTheme="majorHAnsi" w:eastAsiaTheme="majorEastAsia" w:hAnsiTheme="majorHAnsi" w:cstheme="majorBidi"/>
      <w:color w:val="365F91" w:themeColor="accent1" w:themeShade="BF"/>
      <w:sz w:val="32"/>
      <w:szCs w:val="32"/>
      <w:lang w:eastAsia="fi-FI"/>
    </w:rPr>
  </w:style>
  <w:style w:type="character" w:styleId="CommentReference">
    <w:name w:val="annotation reference"/>
    <w:basedOn w:val="DefaultParagraphFont"/>
    <w:uiPriority w:val="99"/>
    <w:semiHidden/>
    <w:unhideWhenUsed/>
    <w:rsid w:val="004D5857"/>
    <w:rPr>
      <w:sz w:val="16"/>
      <w:szCs w:val="16"/>
    </w:rPr>
  </w:style>
  <w:style w:type="paragraph" w:styleId="CommentText">
    <w:name w:val="annotation text"/>
    <w:basedOn w:val="Normal"/>
    <w:link w:val="CommentTextChar"/>
    <w:uiPriority w:val="99"/>
    <w:semiHidden/>
    <w:unhideWhenUsed/>
    <w:rsid w:val="004D5857"/>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D5857"/>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4D5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57"/>
    <w:rPr>
      <w:rFonts w:ascii="Segoe UI" w:hAnsi="Segoe UI" w:cs="Segoe UI"/>
      <w:sz w:val="18"/>
      <w:szCs w:val="18"/>
      <w:lang w:eastAsia="fi-FI"/>
    </w:rPr>
  </w:style>
  <w:style w:type="character" w:customStyle="1" w:styleId="Heading2Char">
    <w:name w:val="Heading 2 Char"/>
    <w:basedOn w:val="DefaultParagraphFont"/>
    <w:link w:val="Heading2"/>
    <w:uiPriority w:val="9"/>
    <w:rsid w:val="00E60F95"/>
    <w:rPr>
      <w:rFonts w:ascii="Arial" w:eastAsia="Arial" w:hAnsi="Arial" w:cs="Arial"/>
      <w:b/>
      <w:color w:val="000000"/>
      <w:sz w:val="18"/>
      <w:szCs w:val="18"/>
      <w:lang w:eastAsia="en-US"/>
    </w:rPr>
  </w:style>
  <w:style w:type="character" w:customStyle="1" w:styleId="Heading3Char">
    <w:name w:val="Heading 3 Char"/>
    <w:basedOn w:val="DefaultParagraphFont"/>
    <w:link w:val="Heading3"/>
    <w:uiPriority w:val="9"/>
    <w:rsid w:val="00E60F95"/>
    <w:rPr>
      <w:rFonts w:ascii="Arial" w:eastAsia="Arial" w:hAnsi="Arial" w:cs="Arial"/>
      <w:color w:val="000000"/>
      <w:sz w:val="18"/>
      <w:szCs w:val="18"/>
      <w:u w:val="single"/>
      <w:lang w:eastAsia="en-US"/>
    </w:rPr>
  </w:style>
  <w:style w:type="character" w:styleId="FollowedHyperlink">
    <w:name w:val="FollowedHyperlink"/>
    <w:basedOn w:val="DefaultParagraphFont"/>
    <w:uiPriority w:val="99"/>
    <w:semiHidden/>
    <w:unhideWhenUsed/>
    <w:rsid w:val="00B44F2A"/>
    <w:rPr>
      <w:color w:val="800080" w:themeColor="followedHyperlink"/>
      <w:u w:val="single"/>
    </w:rPr>
  </w:style>
  <w:style w:type="paragraph" w:styleId="Header">
    <w:name w:val="header"/>
    <w:basedOn w:val="Normal"/>
    <w:link w:val="HeaderChar"/>
    <w:uiPriority w:val="99"/>
    <w:unhideWhenUsed/>
    <w:rsid w:val="006406BC"/>
    <w:pPr>
      <w:tabs>
        <w:tab w:val="center" w:pos="4819"/>
        <w:tab w:val="right" w:pos="9638"/>
      </w:tabs>
    </w:pPr>
  </w:style>
  <w:style w:type="character" w:customStyle="1" w:styleId="HeaderChar">
    <w:name w:val="Header Char"/>
    <w:basedOn w:val="DefaultParagraphFont"/>
    <w:link w:val="Header"/>
    <w:uiPriority w:val="99"/>
    <w:rsid w:val="006406BC"/>
    <w:rPr>
      <w:lang w:eastAsia="fi-FI"/>
    </w:rPr>
  </w:style>
  <w:style w:type="paragraph" w:styleId="Footer">
    <w:name w:val="footer"/>
    <w:basedOn w:val="Normal"/>
    <w:link w:val="FooterChar"/>
    <w:uiPriority w:val="99"/>
    <w:unhideWhenUsed/>
    <w:rsid w:val="006406BC"/>
    <w:pPr>
      <w:tabs>
        <w:tab w:val="center" w:pos="4819"/>
        <w:tab w:val="right" w:pos="9638"/>
      </w:tabs>
    </w:pPr>
  </w:style>
  <w:style w:type="character" w:customStyle="1" w:styleId="FooterChar">
    <w:name w:val="Footer Char"/>
    <w:basedOn w:val="DefaultParagraphFont"/>
    <w:link w:val="Footer"/>
    <w:uiPriority w:val="99"/>
    <w:rsid w:val="006406BC"/>
    <w:rPr>
      <w:lang w:eastAsia="fi-FI"/>
    </w:rPr>
  </w:style>
  <w:style w:type="table" w:styleId="TableGrid">
    <w:name w:val="Table Grid"/>
    <w:basedOn w:val="TableNormal"/>
    <w:uiPriority w:val="59"/>
    <w:rsid w:val="00BF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92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92B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D6F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52531A"/>
    <w:rPr>
      <w:rFonts w:ascii="Times New Roman" w:eastAsia="Times New Roman" w:hAnsi="Times New Roman" w:cs="Times New Roman"/>
      <w:b/>
      <w:bCs/>
      <w:lang w:eastAsia="fi-FI"/>
    </w:rPr>
  </w:style>
  <w:style w:type="character" w:customStyle="1" w:styleId="CommentSubjectChar">
    <w:name w:val="Comment Subject Char"/>
    <w:basedOn w:val="CommentTextChar"/>
    <w:link w:val="CommentSubject"/>
    <w:uiPriority w:val="99"/>
    <w:semiHidden/>
    <w:rsid w:val="0052531A"/>
    <w:rPr>
      <w:rFonts w:asciiTheme="minorHAnsi" w:eastAsiaTheme="minorHAnsi" w:hAnsiTheme="minorHAnsi" w:cstheme="minorBidi"/>
      <w:b/>
      <w:bCs/>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7894">
      <w:bodyDiv w:val="1"/>
      <w:marLeft w:val="0"/>
      <w:marRight w:val="0"/>
      <w:marTop w:val="0"/>
      <w:marBottom w:val="0"/>
      <w:divBdr>
        <w:top w:val="none" w:sz="0" w:space="0" w:color="auto"/>
        <w:left w:val="none" w:sz="0" w:space="0" w:color="auto"/>
        <w:bottom w:val="none" w:sz="0" w:space="0" w:color="auto"/>
        <w:right w:val="none" w:sz="0" w:space="0" w:color="auto"/>
      </w:divBdr>
    </w:div>
    <w:div w:id="54554784">
      <w:bodyDiv w:val="1"/>
      <w:marLeft w:val="0"/>
      <w:marRight w:val="0"/>
      <w:marTop w:val="0"/>
      <w:marBottom w:val="0"/>
      <w:divBdr>
        <w:top w:val="none" w:sz="0" w:space="0" w:color="auto"/>
        <w:left w:val="none" w:sz="0" w:space="0" w:color="auto"/>
        <w:bottom w:val="none" w:sz="0" w:space="0" w:color="auto"/>
        <w:right w:val="none" w:sz="0" w:space="0" w:color="auto"/>
      </w:divBdr>
    </w:div>
    <w:div w:id="11837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B2B0-30E6-4D54-9113-BE1FAE2B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6814</Words>
  <Characters>38844</Characters>
  <Application>Microsoft Office Word</Application>
  <DocSecurity>0</DocSecurity>
  <Lines>323</Lines>
  <Paragraphs>91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vp</cp:lastModifiedBy>
  <cp:revision>3</cp:revision>
  <dcterms:created xsi:type="dcterms:W3CDTF">2025-07-11T11:07:00Z</dcterms:created>
  <dcterms:modified xsi:type="dcterms:W3CDTF">2025-07-31T07:42:00Z</dcterms:modified>
</cp:coreProperties>
</file>