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https://projektai.intranet.litgrid.eu/PWA/Laukuvos%20TP/_layouts/15/DocIdRedir.aspx?ID=PVIS-1244306674-146</Url>
      <Description>PVIS-1244306674-146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PVIS-1244306674-146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1F546-8BF1-4204-BE28-79A494B2A424}"/>
</file>

<file path=customXml/itemProps3.xml><?xml version="1.0" encoding="utf-8"?>
<ds:datastoreItem xmlns:ds="http://schemas.openxmlformats.org/officeDocument/2006/customXml" ds:itemID="{9A7FCBF3-9C9A-4872-9DD6-0957C183C624}"/>
</file>

<file path=customXml/itemProps4.xml><?xml version="1.0" encoding="utf-8"?>
<ds:datastoreItem xmlns:ds="http://schemas.openxmlformats.org/officeDocument/2006/customXml" ds:itemID="{0C8CADFB-BE2D-4F19-ABEF-5834EF21B9AB}"/>
</file>

<file path=customXml/itemProps5.xml><?xml version="1.0" encoding="utf-8"?>
<ds:datastoreItem xmlns:ds="http://schemas.openxmlformats.org/officeDocument/2006/customXml" ds:itemID="{D31DC587-74F8-4963-AD38-BD3A49F931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0x01010066872F3CC8F7D84995438B893169A0800200BCB2838D7BB2164CA0C03B53724AF36D</vt:lpwstr>
  </property>
  <property fmtid="{D5CDD505-2E9C-101B-9397-08002B2CF9AE}" pid="3" name="_dlc_DocIdItemGuid">
    <vt:lpwstr>63e83d74-2298-4e6d-883e-1255b4e4de1b</vt:lpwstr>
  </property>
</Properties>
</file>