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EF3D3" w14:textId="77777777" w:rsidR="0030384E" w:rsidRPr="00033467" w:rsidRDefault="0030384E" w:rsidP="00033467">
      <w:pPr>
        <w:widowControl w:val="0"/>
        <w:autoSpaceDE w:val="0"/>
        <w:autoSpaceDN w:val="0"/>
        <w:adjustRightInd w:val="0"/>
        <w:spacing w:after="0" w:line="240" w:lineRule="auto"/>
        <w:jc w:val="right"/>
        <w:rPr>
          <w:szCs w:val="24"/>
        </w:rPr>
      </w:pPr>
    </w:p>
    <w:p w14:paraId="484CEA33" w14:textId="66DC2898" w:rsidR="00E346FC" w:rsidRPr="002349BB" w:rsidRDefault="00185EB5" w:rsidP="00E346FC">
      <w:pPr>
        <w:pStyle w:val="BodyText21"/>
        <w:rPr>
          <w:shd w:val="clear" w:color="auto" w:fill="FFFF00"/>
        </w:rPr>
      </w:pPr>
      <w:r>
        <w:t xml:space="preserve">PAPRASTOJO </w:t>
      </w:r>
      <w:r w:rsidR="00E346FC">
        <w:t xml:space="preserve">remonto </w:t>
      </w:r>
      <w:r w:rsidR="00715EDC" w:rsidRPr="00BD1D8D">
        <w:t>RANGOS</w:t>
      </w:r>
      <w:r w:rsidR="009B203C">
        <w:t xml:space="preserve"> </w:t>
      </w:r>
      <w:r w:rsidR="00E346FC">
        <w:t>darbŲ</w:t>
      </w:r>
      <w:r w:rsidR="009B203C">
        <w:t xml:space="preserve"> </w:t>
      </w:r>
      <w:r w:rsidR="00E346FC" w:rsidRPr="002349BB">
        <w:rPr>
          <w:bCs w:val="0"/>
        </w:rPr>
        <w:t>SUTARTIS NR.</w:t>
      </w:r>
      <w:r w:rsidR="00921E30">
        <w:rPr>
          <w:bCs w:val="0"/>
        </w:rPr>
        <w:t xml:space="preserve"> 5F-</w:t>
      </w:r>
    </w:p>
    <w:p w14:paraId="49C18CCE" w14:textId="77777777" w:rsidR="00E346FC" w:rsidRPr="00187BE7" w:rsidRDefault="00E346FC" w:rsidP="00E346FC">
      <w:pPr>
        <w:spacing w:after="0" w:line="240" w:lineRule="auto"/>
        <w:jc w:val="center"/>
        <w:rPr>
          <w:b/>
        </w:rPr>
      </w:pPr>
    </w:p>
    <w:p w14:paraId="2143925B" w14:textId="2D0AE427" w:rsidR="00E346FC" w:rsidRPr="008110E0" w:rsidRDefault="00E346FC" w:rsidP="00E346FC">
      <w:pPr>
        <w:spacing w:after="0" w:line="240" w:lineRule="auto"/>
        <w:jc w:val="center"/>
      </w:pPr>
      <w:r w:rsidRPr="008110E0">
        <w:t>202</w:t>
      </w:r>
      <w:r w:rsidR="000B7ABD">
        <w:t>4</w:t>
      </w:r>
      <w:r w:rsidRPr="008110E0">
        <w:t xml:space="preserve"> m. </w:t>
      </w:r>
      <w:r w:rsidR="0090373D">
        <w:t>lapkričio</w:t>
      </w:r>
      <w:r w:rsidR="00B90C5F">
        <w:t xml:space="preserve">  </w:t>
      </w:r>
      <w:r w:rsidR="00DE10FF">
        <w:t xml:space="preserve">26 </w:t>
      </w:r>
      <w:r w:rsidRPr="008110E0">
        <w:t>d.</w:t>
      </w:r>
    </w:p>
    <w:p w14:paraId="38526688" w14:textId="77777777" w:rsidR="00E346FC" w:rsidRPr="008110E0" w:rsidRDefault="00185EB5" w:rsidP="00E346FC">
      <w:pPr>
        <w:spacing w:after="0" w:line="240" w:lineRule="auto"/>
        <w:jc w:val="center"/>
      </w:pPr>
      <w:r>
        <w:t>Elektrėnai</w:t>
      </w:r>
    </w:p>
    <w:p w14:paraId="4C342F18" w14:textId="77777777" w:rsidR="00E346FC" w:rsidRPr="00C57661" w:rsidRDefault="00E346FC" w:rsidP="00E346FC">
      <w:pPr>
        <w:spacing w:after="0" w:line="240" w:lineRule="auto"/>
      </w:pPr>
    </w:p>
    <w:p w14:paraId="08FF94B2" w14:textId="777AB312" w:rsidR="00E346FC" w:rsidRPr="00040AA6" w:rsidRDefault="00185EB5" w:rsidP="006D0DA2">
      <w:pPr>
        <w:tabs>
          <w:tab w:val="right" w:pos="0"/>
        </w:tabs>
        <w:spacing w:after="0" w:line="240" w:lineRule="auto"/>
        <w:ind w:firstLine="709"/>
        <w:jc w:val="both"/>
        <w:rPr>
          <w:b/>
          <w:szCs w:val="24"/>
        </w:rPr>
      </w:pPr>
      <w:r>
        <w:rPr>
          <w:b/>
          <w:bCs/>
          <w:szCs w:val="24"/>
        </w:rPr>
        <w:t xml:space="preserve">Viešoji Įstaiga </w:t>
      </w:r>
      <w:bookmarkStart w:id="0" w:name="_Hlk137498180"/>
      <w:r>
        <w:rPr>
          <w:b/>
          <w:bCs/>
          <w:szCs w:val="24"/>
        </w:rPr>
        <w:t>Elektrėnų profesinio mokymo centras</w:t>
      </w:r>
      <w:bookmarkEnd w:id="0"/>
      <w:r w:rsidR="00B90C5F">
        <w:rPr>
          <w:b/>
          <w:bCs/>
          <w:szCs w:val="24"/>
        </w:rPr>
        <w:t xml:space="preserve"> </w:t>
      </w:r>
      <w:r w:rsidR="00E346FC" w:rsidRPr="00040AA6">
        <w:rPr>
          <w:szCs w:val="24"/>
        </w:rPr>
        <w:t xml:space="preserve">(toliau – </w:t>
      </w:r>
      <w:r w:rsidR="00E346FC" w:rsidRPr="00040AA6">
        <w:rPr>
          <w:b/>
          <w:bCs/>
          <w:szCs w:val="24"/>
        </w:rPr>
        <w:t>Užsakovas</w:t>
      </w:r>
      <w:r w:rsidR="00E346FC" w:rsidRPr="00040AA6">
        <w:rPr>
          <w:szCs w:val="24"/>
        </w:rPr>
        <w:t xml:space="preserve">), kodas </w:t>
      </w:r>
      <w:r>
        <w:rPr>
          <w:szCs w:val="24"/>
        </w:rPr>
        <w:t>190976966</w:t>
      </w:r>
      <w:r w:rsidR="00E346FC" w:rsidRPr="00040AA6">
        <w:rPr>
          <w:szCs w:val="24"/>
        </w:rPr>
        <w:t xml:space="preserve">, </w:t>
      </w:r>
      <w:r w:rsidRPr="00683A48">
        <w:rPr>
          <w:color w:val="000000" w:themeColor="text1"/>
          <w:lang w:eastAsia="lt-LT"/>
        </w:rPr>
        <w:t xml:space="preserve">kurios registruota buveinė yra </w:t>
      </w:r>
      <w:r>
        <w:rPr>
          <w:color w:val="000000" w:themeColor="text1"/>
          <w:lang w:eastAsia="lt-LT"/>
        </w:rPr>
        <w:t>Rungos g. 18, 26109, Elektrėnai,</w:t>
      </w:r>
      <w:bookmarkStart w:id="1" w:name="_Hlk132271639"/>
      <w:r w:rsidR="000B7ABD">
        <w:rPr>
          <w:color w:val="000000" w:themeColor="text1"/>
          <w:lang w:eastAsia="lt-LT"/>
        </w:rPr>
        <w:t xml:space="preserve"> </w:t>
      </w:r>
      <w:r w:rsidRPr="00683A48">
        <w:rPr>
          <w:color w:val="000000" w:themeColor="text1"/>
          <w:lang w:eastAsia="lt-LT"/>
        </w:rPr>
        <w:t>duomenys apie įstaigą kaupiami ir saugomi Lietuvos Respublikos juridinių asmenų registre</w:t>
      </w:r>
      <w:bookmarkEnd w:id="1"/>
      <w:r w:rsidRPr="00683A48">
        <w:rPr>
          <w:color w:val="000000" w:themeColor="text1"/>
          <w:lang w:eastAsia="lt-LT"/>
        </w:rPr>
        <w:t xml:space="preserve">, </w:t>
      </w:r>
      <w:r w:rsidR="00E346FC" w:rsidRPr="00040AA6">
        <w:rPr>
          <w:szCs w:val="24"/>
        </w:rPr>
        <w:t xml:space="preserve">atstovaujama </w:t>
      </w:r>
      <w:r w:rsidR="00B90C5F">
        <w:rPr>
          <w:szCs w:val="24"/>
        </w:rPr>
        <w:t>direktorės Linos Triponienės</w:t>
      </w:r>
      <w:r w:rsidR="00E346FC" w:rsidRPr="00040AA6">
        <w:rPr>
          <w:szCs w:val="24"/>
        </w:rPr>
        <w:t>, veikiančio</w:t>
      </w:r>
      <w:r>
        <w:rPr>
          <w:szCs w:val="24"/>
        </w:rPr>
        <w:t>s</w:t>
      </w:r>
      <w:r w:rsidR="00E346FC" w:rsidRPr="00040AA6">
        <w:rPr>
          <w:szCs w:val="24"/>
        </w:rPr>
        <w:t xml:space="preserve"> pagal </w:t>
      </w:r>
      <w:r>
        <w:rPr>
          <w:szCs w:val="24"/>
        </w:rPr>
        <w:t>įstaigos įstatus</w:t>
      </w:r>
      <w:r w:rsidR="00E346FC" w:rsidRPr="00040AA6">
        <w:rPr>
          <w:szCs w:val="24"/>
        </w:rPr>
        <w:t>, ir</w:t>
      </w:r>
      <w:r w:rsidR="00E67C72">
        <w:rPr>
          <w:szCs w:val="24"/>
        </w:rPr>
        <w:t xml:space="preserve"> </w:t>
      </w:r>
      <w:r w:rsidR="00801D98">
        <w:rPr>
          <w:color w:val="000000" w:themeColor="text1"/>
          <w:szCs w:val="24"/>
        </w:rPr>
        <w:t>SRS Servisas UAB</w:t>
      </w:r>
      <w:r w:rsidR="00E67C72" w:rsidRPr="00E67C72">
        <w:rPr>
          <w:color w:val="000000" w:themeColor="text1"/>
          <w:szCs w:val="24"/>
        </w:rPr>
        <w:t xml:space="preserve"> </w:t>
      </w:r>
      <w:r w:rsidR="00E346FC" w:rsidRPr="00E67C72">
        <w:rPr>
          <w:color w:val="000000" w:themeColor="text1"/>
          <w:szCs w:val="24"/>
        </w:rPr>
        <w:t xml:space="preserve">(toliau  – </w:t>
      </w:r>
      <w:r w:rsidR="00E346FC" w:rsidRPr="00E67C72">
        <w:rPr>
          <w:b/>
          <w:bCs/>
          <w:color w:val="000000" w:themeColor="text1"/>
          <w:szCs w:val="24"/>
        </w:rPr>
        <w:t>Rangovas</w:t>
      </w:r>
      <w:r w:rsidR="00E346FC" w:rsidRPr="00E67C72">
        <w:rPr>
          <w:color w:val="000000" w:themeColor="text1"/>
          <w:szCs w:val="24"/>
        </w:rPr>
        <w:t xml:space="preserve">), </w:t>
      </w:r>
      <w:r w:rsidRPr="00E67C72">
        <w:rPr>
          <w:color w:val="000000" w:themeColor="text1"/>
          <w:shd w:val="clear" w:color="auto" w:fill="FFFFFF"/>
          <w:lang w:eastAsia="lt-LT"/>
        </w:rPr>
        <w:t>įmonės kodas</w:t>
      </w:r>
      <w:r w:rsidR="006D0DA2" w:rsidRPr="00E67C72">
        <w:rPr>
          <w:color w:val="000000" w:themeColor="text1"/>
          <w:shd w:val="clear" w:color="auto" w:fill="FFFFFF"/>
          <w:lang w:eastAsia="lt-LT"/>
        </w:rPr>
        <w:t xml:space="preserve"> </w:t>
      </w:r>
      <w:r w:rsidR="00801D98" w:rsidRPr="00801D98">
        <w:rPr>
          <w:color w:val="000000" w:themeColor="text1"/>
          <w:shd w:val="clear" w:color="auto" w:fill="FFFFFF"/>
          <w:lang w:eastAsia="lt-LT"/>
        </w:rPr>
        <w:t>301558858</w:t>
      </w:r>
      <w:r w:rsidRPr="00E67C72">
        <w:rPr>
          <w:color w:val="000000" w:themeColor="text1"/>
          <w:shd w:val="clear" w:color="auto" w:fill="FFFFFF"/>
          <w:lang w:eastAsia="lt-LT"/>
        </w:rPr>
        <w:t>, kurios registruota buveinė yra</w:t>
      </w:r>
      <w:r w:rsidR="006D0DA2" w:rsidRPr="00E67C72">
        <w:rPr>
          <w:color w:val="000000" w:themeColor="text1"/>
          <w:shd w:val="clear" w:color="auto" w:fill="FFFFFF"/>
          <w:lang w:eastAsia="lt-LT"/>
        </w:rPr>
        <w:t xml:space="preserve"> </w:t>
      </w:r>
      <w:r w:rsidR="00801D98" w:rsidRPr="00801D98">
        <w:rPr>
          <w:color w:val="000000" w:themeColor="text1"/>
          <w:shd w:val="clear" w:color="auto" w:fill="FFFFFF"/>
          <w:lang w:eastAsia="lt-LT"/>
        </w:rPr>
        <w:t>K. Dulksnio g. 13, Narsiečių k., Kauno raj. sav., LT-53304</w:t>
      </w:r>
      <w:r w:rsidR="00E67C72" w:rsidRPr="00E67C72">
        <w:rPr>
          <w:color w:val="000000" w:themeColor="text1"/>
          <w:shd w:val="clear" w:color="auto" w:fill="FFFFFF"/>
          <w:lang w:eastAsia="lt-LT"/>
        </w:rPr>
        <w:t xml:space="preserve"> </w:t>
      </w:r>
      <w:r w:rsidRPr="00E67C72">
        <w:rPr>
          <w:color w:val="000000" w:themeColor="text1"/>
          <w:lang w:eastAsia="lt-LT"/>
        </w:rPr>
        <w:t>duomenys apie įstaigą kaupiami ir saugomi Lietuvos Respublikos juridinių asmenų registre</w:t>
      </w:r>
      <w:r w:rsidRPr="00E67C72">
        <w:rPr>
          <w:color w:val="000000" w:themeColor="text1"/>
          <w:shd w:val="clear" w:color="auto" w:fill="FFFFFF"/>
          <w:lang w:eastAsia="lt-LT"/>
        </w:rPr>
        <w:t>, atstovaujama</w:t>
      </w:r>
      <w:r w:rsidR="00801D98">
        <w:rPr>
          <w:color w:val="000000" w:themeColor="text1"/>
          <w:shd w:val="clear" w:color="auto" w:fill="FFFFFF"/>
          <w:lang w:eastAsia="lt-LT"/>
        </w:rPr>
        <w:t xml:space="preserve"> direktorės Natalijos Zagorskaitės </w:t>
      </w:r>
      <w:r w:rsidR="00E67C72">
        <w:rPr>
          <w:color w:val="FF0000"/>
          <w:shd w:val="clear" w:color="auto" w:fill="FFFFFF"/>
          <w:lang w:eastAsia="lt-LT"/>
        </w:rPr>
        <w:t xml:space="preserve"> </w:t>
      </w:r>
      <w:r w:rsidR="00E346FC" w:rsidRPr="00187BE7">
        <w:t xml:space="preserve">kurie </w:t>
      </w:r>
      <w:r w:rsidR="00E346FC" w:rsidRPr="00040AA6">
        <w:rPr>
          <w:szCs w:val="24"/>
        </w:rPr>
        <w:t xml:space="preserve">toliau Sutartyje </w:t>
      </w:r>
      <w:r w:rsidR="00E346FC" w:rsidRPr="00187BE7">
        <w:t>vadinami</w:t>
      </w:r>
      <w:r w:rsidR="00E346FC" w:rsidRPr="00040AA6">
        <w:rPr>
          <w:szCs w:val="24"/>
        </w:rPr>
        <w:t xml:space="preserve"> Užsakovas ir  Rangovas kartu vadinami </w:t>
      </w:r>
      <w:r w:rsidR="00E346FC" w:rsidRPr="00040AA6">
        <w:rPr>
          <w:b/>
          <w:szCs w:val="24"/>
        </w:rPr>
        <w:t>Šalimis</w:t>
      </w:r>
      <w:r w:rsidR="00E346FC" w:rsidRPr="00040AA6">
        <w:rPr>
          <w:szCs w:val="24"/>
        </w:rPr>
        <w:t xml:space="preserve">, o atskirai – </w:t>
      </w:r>
      <w:r w:rsidR="00E346FC" w:rsidRPr="00040AA6">
        <w:rPr>
          <w:b/>
          <w:szCs w:val="24"/>
        </w:rPr>
        <w:t>Šalimi</w:t>
      </w:r>
      <w:r w:rsidR="00E346FC" w:rsidRPr="00187BE7">
        <w:t>, sudarė šią viešojo darbų pirkimo – pardavimo sutartį (toliau - Sutartis) ir susitarė dėl toliau išvardintų sąlygų</w:t>
      </w:r>
      <w:r w:rsidR="00E346FC" w:rsidRPr="00040AA6">
        <w:rPr>
          <w:szCs w:val="24"/>
        </w:rPr>
        <w:t>.</w:t>
      </w:r>
    </w:p>
    <w:p w14:paraId="4FF8367F" w14:textId="77777777" w:rsidR="00E346FC" w:rsidRPr="00187BE7" w:rsidRDefault="00E346FC" w:rsidP="00E346FC">
      <w:pPr>
        <w:spacing w:after="0" w:line="240" w:lineRule="auto"/>
        <w:ind w:firstLine="720"/>
        <w:jc w:val="both"/>
        <w:rPr>
          <w:lang w:eastAsia="ru-RU"/>
        </w:rPr>
      </w:pPr>
    </w:p>
    <w:p w14:paraId="004F8B12" w14:textId="77777777" w:rsidR="00E346FC" w:rsidRDefault="00E346FC" w:rsidP="00E346FC">
      <w:pPr>
        <w:spacing w:after="0" w:line="240" w:lineRule="auto"/>
        <w:ind w:firstLine="720"/>
        <w:jc w:val="center"/>
        <w:rPr>
          <w:b/>
          <w:lang w:eastAsia="ru-RU"/>
        </w:rPr>
      </w:pPr>
      <w:r>
        <w:rPr>
          <w:b/>
          <w:lang w:eastAsia="ru-RU"/>
        </w:rPr>
        <w:t>I</w:t>
      </w:r>
      <w:r w:rsidRPr="00187BE7">
        <w:rPr>
          <w:b/>
          <w:lang w:eastAsia="ru-RU"/>
        </w:rPr>
        <w:t>. SUTARTIES OBJEKTAS</w:t>
      </w:r>
    </w:p>
    <w:p w14:paraId="0696D85B" w14:textId="77777777" w:rsidR="006D0DA2" w:rsidRPr="00187BE7" w:rsidRDefault="006D0DA2" w:rsidP="00E346FC">
      <w:pPr>
        <w:spacing w:after="0" w:line="240" w:lineRule="auto"/>
        <w:ind w:firstLine="720"/>
        <w:jc w:val="center"/>
        <w:rPr>
          <w:b/>
          <w:lang w:eastAsia="ru-RU"/>
        </w:rPr>
      </w:pPr>
    </w:p>
    <w:p w14:paraId="63F6D1FB" w14:textId="17EAB5F4" w:rsidR="00E346FC" w:rsidRPr="00187BE7" w:rsidRDefault="00E346FC" w:rsidP="00E346FC">
      <w:pPr>
        <w:spacing w:after="0" w:line="240" w:lineRule="auto"/>
        <w:ind w:firstLine="720"/>
        <w:jc w:val="both"/>
        <w:rPr>
          <w:b/>
          <w:i/>
          <w:color w:val="FF0000"/>
        </w:rPr>
      </w:pPr>
      <w:r w:rsidRPr="00187BE7">
        <w:rPr>
          <w:bCs/>
          <w:lang w:eastAsia="ru-RU"/>
        </w:rPr>
        <w:t xml:space="preserve">1.1.Šia Sutartimi Rangovas įsipareigoja savo jėgomis, medžiagomis ir priemonėmis šioje Sutartyje nustatytais terminais ir tvarka atlikti </w:t>
      </w:r>
      <w:r w:rsidRPr="009D47F9">
        <w:rPr>
          <w:bCs/>
          <w:lang w:eastAsia="ru-RU"/>
        </w:rPr>
        <w:t>užsakovo</w:t>
      </w:r>
      <w:r w:rsidR="000B7ABD" w:rsidRPr="00CD46BA">
        <w:rPr>
          <w:rFonts w:cstheme="minorHAnsi"/>
          <w:szCs w:val="24"/>
        </w:rPr>
        <w:t xml:space="preserve"> mokyklos, Rungos g. </w:t>
      </w:r>
      <w:r w:rsidR="00DE10FF">
        <w:rPr>
          <w:rFonts w:cstheme="minorHAnsi"/>
          <w:szCs w:val="24"/>
        </w:rPr>
        <w:t>20</w:t>
      </w:r>
      <w:r w:rsidR="000B7ABD" w:rsidRPr="00CD46BA">
        <w:rPr>
          <w:rFonts w:cstheme="minorHAnsi"/>
          <w:szCs w:val="24"/>
        </w:rPr>
        <w:t>, Elektrėn</w:t>
      </w:r>
      <w:r w:rsidR="000B7ABD">
        <w:rPr>
          <w:rFonts w:cstheme="minorHAnsi"/>
          <w:szCs w:val="24"/>
        </w:rPr>
        <w:t>ai</w:t>
      </w:r>
      <w:r w:rsidR="000B7ABD" w:rsidRPr="00CD46BA">
        <w:rPr>
          <w:rFonts w:cstheme="minorHAnsi"/>
          <w:szCs w:val="24"/>
        </w:rPr>
        <w:t xml:space="preserve"> III-</w:t>
      </w:r>
      <w:proofErr w:type="spellStart"/>
      <w:r w:rsidR="000B7ABD" w:rsidRPr="00CD46BA">
        <w:rPr>
          <w:rFonts w:cstheme="minorHAnsi"/>
          <w:szCs w:val="24"/>
        </w:rPr>
        <w:t>ojo</w:t>
      </w:r>
      <w:proofErr w:type="spellEnd"/>
      <w:r w:rsidR="000B7ABD" w:rsidRPr="00CD46BA">
        <w:rPr>
          <w:rFonts w:cstheme="minorHAnsi"/>
          <w:szCs w:val="24"/>
        </w:rPr>
        <w:t xml:space="preserve"> au</w:t>
      </w:r>
      <w:r w:rsidR="000B7ABD">
        <w:rPr>
          <w:rFonts w:cstheme="minorHAnsi"/>
          <w:szCs w:val="24"/>
        </w:rPr>
        <w:t>kš</w:t>
      </w:r>
      <w:r w:rsidR="000B7ABD" w:rsidRPr="00CD46BA">
        <w:rPr>
          <w:rFonts w:cstheme="minorHAnsi"/>
          <w:szCs w:val="24"/>
        </w:rPr>
        <w:t>t</w:t>
      </w:r>
      <w:r w:rsidR="0090373D">
        <w:rPr>
          <w:rFonts w:cstheme="minorHAnsi"/>
          <w:szCs w:val="24"/>
        </w:rPr>
        <w:t>o</w:t>
      </w:r>
      <w:r w:rsidR="000B7ABD" w:rsidRPr="00CD46BA">
        <w:rPr>
          <w:rFonts w:cstheme="minorHAnsi"/>
          <w:szCs w:val="24"/>
        </w:rPr>
        <w:t xml:space="preserve"> </w:t>
      </w:r>
      <w:r w:rsidR="0090373D">
        <w:rPr>
          <w:rFonts w:cstheme="minorHAnsi"/>
          <w:szCs w:val="24"/>
        </w:rPr>
        <w:t>sanitarinių</w:t>
      </w:r>
      <w:r w:rsidR="000B7ABD">
        <w:rPr>
          <w:rFonts w:cstheme="minorHAnsi"/>
          <w:szCs w:val="24"/>
        </w:rPr>
        <w:t xml:space="preserve"> patalpų</w:t>
      </w:r>
      <w:r w:rsidR="000B7ABD" w:rsidRPr="00CD46BA">
        <w:rPr>
          <w:rFonts w:cstheme="minorHAnsi"/>
          <w:szCs w:val="24"/>
        </w:rPr>
        <w:t xml:space="preserve"> </w:t>
      </w:r>
      <w:r w:rsidR="000B7ABD">
        <w:rPr>
          <w:rFonts w:cstheme="minorHAnsi"/>
          <w:szCs w:val="24"/>
        </w:rPr>
        <w:t xml:space="preserve">paprastąjį </w:t>
      </w:r>
      <w:r w:rsidR="000B7ABD" w:rsidRPr="00CD46BA">
        <w:rPr>
          <w:rFonts w:cstheme="minorHAnsi"/>
          <w:szCs w:val="24"/>
        </w:rPr>
        <w:t xml:space="preserve">remontą </w:t>
      </w:r>
      <w:r w:rsidRPr="00187BE7">
        <w:rPr>
          <w:bCs/>
          <w:lang w:eastAsia="ru-RU"/>
        </w:rPr>
        <w:t>(toliau – Darbai) ir perduoti juos Užsakovui.</w:t>
      </w:r>
    </w:p>
    <w:p w14:paraId="211D3FA4" w14:textId="632995A9" w:rsidR="00E346FC" w:rsidRDefault="0090373D" w:rsidP="00E346FC">
      <w:pPr>
        <w:tabs>
          <w:tab w:val="left" w:pos="0"/>
          <w:tab w:val="left" w:pos="426"/>
          <w:tab w:val="left" w:pos="1210"/>
        </w:tabs>
        <w:spacing w:after="0" w:line="240" w:lineRule="auto"/>
        <w:ind w:firstLine="709"/>
        <w:jc w:val="both"/>
      </w:pPr>
      <w:r>
        <w:t>1.2</w:t>
      </w:r>
      <w:r w:rsidR="00B90C5F">
        <w:t xml:space="preserve">. </w:t>
      </w:r>
      <w:r w:rsidR="00E346FC" w:rsidRPr="00316568">
        <w:t>Darbams taikomos</w:t>
      </w:r>
      <w:r w:rsidR="00921E30">
        <w:t xml:space="preserve"> </w:t>
      </w:r>
      <w:r w:rsidR="00E346FC" w:rsidRPr="00316568">
        <w:rPr>
          <w:bCs/>
          <w:szCs w:val="24"/>
        </w:rPr>
        <w:t>Lietuvos Respublikos aplinkos ministro 2011 m. birželio 28 d. įsakymo Nr. D1-508 „Dėl Produktų, kurių viešiesiems pirkimams taikytini aplinkos apsaugos kriterijai, sąrašų, aplinkos apsaugos kriterijų ir aplinkos apsaugos kriterijų, kuriuos perkančiosios organizacijos ir perkantieji subjektai turi taikyti pirkdami prekes, paslaugas ar darbus, taikymo tvarkos aprašo patvirtinimo“ 4.1 punkto nuostatos</w:t>
      </w:r>
      <w:r w:rsidR="00E346FC" w:rsidRPr="00316568">
        <w:t xml:space="preserve">. </w:t>
      </w:r>
    </w:p>
    <w:p w14:paraId="194F64BE" w14:textId="5B9F1152" w:rsidR="00C57661" w:rsidRPr="00715EDC" w:rsidRDefault="00DE10FF" w:rsidP="00C57661">
      <w:pPr>
        <w:tabs>
          <w:tab w:val="left" w:pos="0"/>
          <w:tab w:val="left" w:pos="426"/>
          <w:tab w:val="left" w:pos="1210"/>
        </w:tabs>
        <w:spacing w:after="0" w:line="240" w:lineRule="auto"/>
        <w:ind w:firstLine="709"/>
        <w:jc w:val="both"/>
      </w:pPr>
      <w:r>
        <w:t>1.3</w:t>
      </w:r>
      <w:r w:rsidR="00C57661" w:rsidRPr="00715EDC">
        <w:t>. Vykdydamos šią Sutartį, Šalys vadovaujasi įstatymais bei kitais teisės aktais, normatyviniais dokumentais ir šios Sutarties nuostatomis.</w:t>
      </w:r>
    </w:p>
    <w:p w14:paraId="15D88D17" w14:textId="3E14F4B6" w:rsidR="00C57661" w:rsidRPr="00715EDC" w:rsidRDefault="00C57661" w:rsidP="00C57661">
      <w:pPr>
        <w:tabs>
          <w:tab w:val="left" w:pos="0"/>
          <w:tab w:val="left" w:pos="426"/>
          <w:tab w:val="left" w:pos="1210"/>
        </w:tabs>
        <w:spacing w:after="0" w:line="240" w:lineRule="auto"/>
        <w:ind w:firstLine="709"/>
        <w:jc w:val="both"/>
      </w:pPr>
      <w:r w:rsidRPr="00715EDC">
        <w:t>1.</w:t>
      </w:r>
      <w:r w:rsidR="00DE10FF">
        <w:t>4</w:t>
      </w:r>
      <w:r w:rsidRPr="00715EDC">
        <w:t>. Darbų vykdymo adresas:</w:t>
      </w:r>
      <w:r w:rsidR="006A4A20">
        <w:t xml:space="preserve"> </w:t>
      </w:r>
      <w:r w:rsidRPr="00715EDC">
        <w:t xml:space="preserve">Rungos g. </w:t>
      </w:r>
      <w:r w:rsidR="00DE10FF">
        <w:t>20</w:t>
      </w:r>
      <w:r w:rsidRPr="00715EDC">
        <w:t>, Elektrėnai.</w:t>
      </w:r>
    </w:p>
    <w:p w14:paraId="2FA96A72" w14:textId="35224FE6" w:rsidR="00AA3CB6" w:rsidRPr="00715EDC" w:rsidRDefault="00AA3CB6" w:rsidP="00C57661">
      <w:pPr>
        <w:tabs>
          <w:tab w:val="left" w:pos="0"/>
          <w:tab w:val="left" w:pos="426"/>
          <w:tab w:val="left" w:pos="1210"/>
        </w:tabs>
        <w:spacing w:after="0" w:line="240" w:lineRule="auto"/>
        <w:ind w:firstLine="709"/>
        <w:jc w:val="both"/>
      </w:pPr>
      <w:r w:rsidRPr="00715EDC">
        <w:t>1.</w:t>
      </w:r>
      <w:r w:rsidR="00DE10FF">
        <w:t>5</w:t>
      </w:r>
      <w:r w:rsidRPr="00715EDC">
        <w:t xml:space="preserve">. </w:t>
      </w:r>
      <w:r w:rsidRPr="00DE10FF">
        <w:t xml:space="preserve">Darbų atlikimo terminas – </w:t>
      </w:r>
      <w:r w:rsidRPr="00DE10FF">
        <w:rPr>
          <w:b/>
          <w:bCs/>
        </w:rPr>
        <w:t>iki 202</w:t>
      </w:r>
      <w:r w:rsidR="000B7ABD" w:rsidRPr="00DE10FF">
        <w:rPr>
          <w:b/>
          <w:bCs/>
        </w:rPr>
        <w:t>4</w:t>
      </w:r>
      <w:r w:rsidRPr="00DE10FF">
        <w:rPr>
          <w:b/>
          <w:bCs/>
        </w:rPr>
        <w:t xml:space="preserve"> m. </w:t>
      </w:r>
      <w:r w:rsidR="00DE10FF" w:rsidRPr="00DE10FF">
        <w:rPr>
          <w:b/>
          <w:bCs/>
        </w:rPr>
        <w:t>gruodžio</w:t>
      </w:r>
      <w:r w:rsidR="000B7ABD" w:rsidRPr="00DE10FF">
        <w:rPr>
          <w:b/>
          <w:bCs/>
        </w:rPr>
        <w:t xml:space="preserve"> </w:t>
      </w:r>
      <w:r w:rsidR="00DE10FF" w:rsidRPr="00DE10FF">
        <w:rPr>
          <w:b/>
          <w:bCs/>
        </w:rPr>
        <w:t>31</w:t>
      </w:r>
      <w:r w:rsidRPr="00DE10FF">
        <w:rPr>
          <w:b/>
          <w:bCs/>
        </w:rPr>
        <w:t xml:space="preserve"> d.</w:t>
      </w:r>
      <w:r w:rsidR="006A4A20" w:rsidRPr="00DE10FF">
        <w:rPr>
          <w:b/>
          <w:bCs/>
        </w:rPr>
        <w:t xml:space="preserve"> </w:t>
      </w:r>
      <w:r w:rsidR="00167CEA" w:rsidRPr="00DE10FF">
        <w:t>Darbų atlikimo termino pratęsimas nenumatytas.</w:t>
      </w:r>
      <w:r w:rsidR="006A4A20" w:rsidRPr="00DE10FF">
        <w:t xml:space="preserve"> </w:t>
      </w:r>
      <w:r w:rsidRPr="00DE10FF">
        <w:t>Per šį terminą Darbai privalo būti baigti bei išvežtos statybinės šiukšlės.</w:t>
      </w:r>
    </w:p>
    <w:p w14:paraId="11656F02" w14:textId="77777777" w:rsidR="00E346FC" w:rsidRPr="00715EDC" w:rsidRDefault="00E346FC" w:rsidP="00E346FC">
      <w:pPr>
        <w:spacing w:after="0" w:line="240" w:lineRule="auto"/>
        <w:rPr>
          <w:szCs w:val="24"/>
        </w:rPr>
      </w:pPr>
    </w:p>
    <w:p w14:paraId="7B606029" w14:textId="77777777" w:rsidR="00E346FC" w:rsidRDefault="00E346FC" w:rsidP="00E346FC">
      <w:pPr>
        <w:spacing w:after="0" w:line="240" w:lineRule="auto"/>
        <w:ind w:firstLine="720"/>
        <w:jc w:val="center"/>
        <w:rPr>
          <w:b/>
          <w:lang w:eastAsia="ru-RU"/>
        </w:rPr>
      </w:pPr>
      <w:r w:rsidRPr="00715EDC">
        <w:rPr>
          <w:b/>
          <w:lang w:eastAsia="ru-RU"/>
        </w:rPr>
        <w:t>II. SUTARTIES KAINA</w:t>
      </w:r>
    </w:p>
    <w:p w14:paraId="3B560D31" w14:textId="77777777" w:rsidR="00921E30" w:rsidRPr="00715EDC" w:rsidRDefault="00921E30" w:rsidP="00E346FC">
      <w:pPr>
        <w:spacing w:after="0" w:line="240" w:lineRule="auto"/>
        <w:ind w:firstLine="720"/>
        <w:jc w:val="center"/>
        <w:rPr>
          <w:lang w:val="fr-FR"/>
        </w:rPr>
      </w:pPr>
    </w:p>
    <w:p w14:paraId="6F44D3DC" w14:textId="1B6E7B35" w:rsidR="00E346FC" w:rsidRPr="00187BE7" w:rsidRDefault="00E346FC" w:rsidP="00E346FC">
      <w:pPr>
        <w:spacing w:after="0" w:line="240" w:lineRule="auto"/>
        <w:ind w:firstLine="720"/>
        <w:jc w:val="both"/>
      </w:pPr>
      <w:r w:rsidRPr="00715EDC">
        <w:rPr>
          <w:lang w:eastAsia="ru-RU"/>
        </w:rPr>
        <w:t xml:space="preserve">2.1. </w:t>
      </w:r>
      <w:r w:rsidRPr="00DE10FF">
        <w:rPr>
          <w:lang w:eastAsia="ru-RU"/>
        </w:rPr>
        <w:t xml:space="preserve">Sutarties kaina yra </w:t>
      </w:r>
      <w:r w:rsidR="0090373D" w:rsidRPr="00DE10FF">
        <w:t>17530,43</w:t>
      </w:r>
      <w:r w:rsidR="00E67C72" w:rsidRPr="00DE10FF">
        <w:rPr>
          <w:color w:val="000000" w:themeColor="text1"/>
          <w:lang w:eastAsia="ru-RU"/>
        </w:rPr>
        <w:t xml:space="preserve"> </w:t>
      </w:r>
      <w:proofErr w:type="spellStart"/>
      <w:r w:rsidRPr="00DE10FF">
        <w:rPr>
          <w:color w:val="000000" w:themeColor="text1"/>
          <w:lang w:eastAsia="ru-RU"/>
        </w:rPr>
        <w:t>Eur</w:t>
      </w:r>
      <w:proofErr w:type="spellEnd"/>
      <w:r w:rsidRPr="00DE10FF">
        <w:rPr>
          <w:color w:val="000000" w:themeColor="text1"/>
          <w:lang w:eastAsia="ru-RU"/>
        </w:rPr>
        <w:t xml:space="preserve"> (</w:t>
      </w:r>
      <w:r w:rsidR="00DE10FF" w:rsidRPr="0033302B">
        <w:rPr>
          <w:i/>
          <w:color w:val="000000" w:themeColor="text1"/>
          <w:lang w:eastAsia="ru-RU"/>
        </w:rPr>
        <w:t xml:space="preserve">septyniolika tūkstančių penki šimtai trisdešimt </w:t>
      </w:r>
      <w:proofErr w:type="spellStart"/>
      <w:r w:rsidR="00DE10FF" w:rsidRPr="0033302B">
        <w:rPr>
          <w:i/>
          <w:color w:val="000000" w:themeColor="text1"/>
          <w:lang w:eastAsia="ru-RU"/>
        </w:rPr>
        <w:t>eur</w:t>
      </w:r>
      <w:proofErr w:type="spellEnd"/>
      <w:r w:rsidR="0033302B">
        <w:rPr>
          <w:color w:val="000000" w:themeColor="text1"/>
          <w:lang w:eastAsia="ru-RU"/>
        </w:rPr>
        <w:t>, 43 ct</w:t>
      </w:r>
      <w:r w:rsidR="00DE10FF">
        <w:rPr>
          <w:color w:val="000000" w:themeColor="text1"/>
          <w:lang w:eastAsia="ru-RU"/>
        </w:rPr>
        <w:t xml:space="preserve">), </w:t>
      </w:r>
      <w:r w:rsidRPr="00DE10FF">
        <w:rPr>
          <w:color w:val="000000" w:themeColor="text1"/>
          <w:lang w:eastAsia="ru-RU"/>
        </w:rPr>
        <w:t xml:space="preserve"> su pridėtinės vertės mokesčiu </w:t>
      </w:r>
      <w:r w:rsidR="002E7332" w:rsidRPr="00DE10FF">
        <w:rPr>
          <w:color w:val="000000" w:themeColor="text1"/>
          <w:lang w:eastAsia="ru-RU"/>
        </w:rPr>
        <w:t xml:space="preserve">(PVM), kai PVM sudaro – </w:t>
      </w:r>
      <w:r w:rsidR="0033302B" w:rsidRPr="0033302B">
        <w:rPr>
          <w:color w:val="000000" w:themeColor="text1"/>
          <w:lang w:eastAsia="ru-RU"/>
        </w:rPr>
        <w:t>3042.47</w:t>
      </w:r>
      <w:r w:rsidR="0033302B">
        <w:rPr>
          <w:color w:val="000000" w:themeColor="text1"/>
          <w:lang w:eastAsia="ru-RU"/>
        </w:rPr>
        <w:t xml:space="preserve"> </w:t>
      </w:r>
      <w:proofErr w:type="spellStart"/>
      <w:r w:rsidRPr="00DE10FF">
        <w:rPr>
          <w:color w:val="000000" w:themeColor="text1"/>
          <w:lang w:eastAsia="ru-RU"/>
        </w:rPr>
        <w:t>Eur</w:t>
      </w:r>
      <w:proofErr w:type="spellEnd"/>
      <w:r w:rsidRPr="00DE10FF">
        <w:rPr>
          <w:color w:val="000000" w:themeColor="text1"/>
          <w:lang w:eastAsia="ru-RU"/>
        </w:rPr>
        <w:t xml:space="preserve"> (</w:t>
      </w:r>
      <w:r w:rsidR="0033302B">
        <w:rPr>
          <w:i/>
          <w:iCs/>
          <w:color w:val="000000" w:themeColor="text1"/>
          <w:lang w:eastAsia="ru-RU"/>
        </w:rPr>
        <w:t>trys</w:t>
      </w:r>
      <w:r w:rsidR="00801D98" w:rsidRPr="00DE10FF">
        <w:rPr>
          <w:i/>
          <w:iCs/>
          <w:color w:val="000000" w:themeColor="text1"/>
          <w:lang w:eastAsia="ru-RU"/>
        </w:rPr>
        <w:t xml:space="preserve"> tūkstančiai </w:t>
      </w:r>
      <w:r w:rsidR="0033302B">
        <w:rPr>
          <w:i/>
          <w:iCs/>
          <w:color w:val="000000" w:themeColor="text1"/>
          <w:lang w:eastAsia="ru-RU"/>
        </w:rPr>
        <w:t>keturiasdešimt du</w:t>
      </w:r>
      <w:r w:rsidR="00801D98" w:rsidRPr="00DE10FF">
        <w:rPr>
          <w:i/>
          <w:iCs/>
          <w:color w:val="000000" w:themeColor="text1"/>
          <w:lang w:eastAsia="ru-RU"/>
        </w:rPr>
        <w:t xml:space="preserve"> eur </w:t>
      </w:r>
      <w:r w:rsidR="0033302B">
        <w:rPr>
          <w:i/>
          <w:iCs/>
          <w:color w:val="000000" w:themeColor="text1"/>
          <w:lang w:eastAsia="ru-RU"/>
        </w:rPr>
        <w:t>4</w:t>
      </w:r>
      <w:r w:rsidR="00801D98" w:rsidRPr="00DE10FF">
        <w:rPr>
          <w:i/>
          <w:iCs/>
          <w:color w:val="000000" w:themeColor="text1"/>
          <w:lang w:eastAsia="ru-RU"/>
        </w:rPr>
        <w:t>7 ct</w:t>
      </w:r>
      <w:r w:rsidRPr="00DE10FF">
        <w:rPr>
          <w:color w:val="000000" w:themeColor="text1"/>
          <w:lang w:eastAsia="ru-RU"/>
        </w:rPr>
        <w:t xml:space="preserve">). Sutarties kaina be PVM yra – </w:t>
      </w:r>
      <w:r w:rsidR="0033302B" w:rsidRPr="0033302B">
        <w:rPr>
          <w:color w:val="000000" w:themeColor="text1"/>
          <w:lang w:eastAsia="ru-RU"/>
        </w:rPr>
        <w:t>14487.96</w:t>
      </w:r>
      <w:r w:rsidR="00801D98" w:rsidRPr="00DE10FF">
        <w:rPr>
          <w:color w:val="000000" w:themeColor="text1"/>
          <w:lang w:eastAsia="ru-RU"/>
        </w:rPr>
        <w:t xml:space="preserve"> </w:t>
      </w:r>
      <w:proofErr w:type="spellStart"/>
      <w:r w:rsidR="008D3F2C" w:rsidRPr="00DE10FF">
        <w:rPr>
          <w:lang w:eastAsia="ru-RU"/>
        </w:rPr>
        <w:t>Eur</w:t>
      </w:r>
      <w:proofErr w:type="spellEnd"/>
      <w:r w:rsidR="008D3F2C" w:rsidRPr="00DE10FF">
        <w:rPr>
          <w:lang w:eastAsia="ru-RU"/>
        </w:rPr>
        <w:t xml:space="preserve"> (</w:t>
      </w:r>
      <w:r w:rsidR="0033302B">
        <w:rPr>
          <w:i/>
          <w:iCs/>
          <w:lang w:eastAsia="ru-RU"/>
        </w:rPr>
        <w:t xml:space="preserve">keturiolika tūkstančių keturi šimtai aštuoniasdešimt septyni </w:t>
      </w:r>
      <w:proofErr w:type="spellStart"/>
      <w:r w:rsidR="0033302B">
        <w:rPr>
          <w:i/>
          <w:iCs/>
          <w:lang w:eastAsia="ru-RU"/>
        </w:rPr>
        <w:t>eur</w:t>
      </w:r>
      <w:proofErr w:type="spellEnd"/>
      <w:r w:rsidR="0033302B">
        <w:rPr>
          <w:i/>
          <w:iCs/>
          <w:lang w:eastAsia="ru-RU"/>
        </w:rPr>
        <w:t xml:space="preserve"> 96 ct</w:t>
      </w:r>
      <w:r w:rsidR="000B7ABD" w:rsidRPr="00DE10FF">
        <w:rPr>
          <w:lang w:eastAsia="ru-RU"/>
        </w:rPr>
        <w:t>)</w:t>
      </w:r>
      <w:r w:rsidR="0033302B">
        <w:rPr>
          <w:lang w:eastAsia="ru-RU"/>
        </w:rPr>
        <w:t>.</w:t>
      </w:r>
      <w:bookmarkStart w:id="2" w:name="_GoBack"/>
      <w:bookmarkEnd w:id="2"/>
      <w:r w:rsidR="000B7ABD">
        <w:rPr>
          <w:lang w:eastAsia="ru-RU"/>
        </w:rPr>
        <w:t xml:space="preserve"> </w:t>
      </w:r>
      <w:r w:rsidR="00090BF2" w:rsidRPr="00F9351D">
        <w:rPr>
          <w:bCs/>
          <w:lang w:eastAsia="ru-RU"/>
        </w:rPr>
        <w:t>Statybos darbams taikomas LR PVM įstatymo 96 straipsnis (atvirkštinis PVM).</w:t>
      </w:r>
      <w:r w:rsidR="00F9351D" w:rsidRPr="00F9351D">
        <w:rPr>
          <w:bCs/>
          <w:lang w:eastAsia="ru-RU"/>
        </w:rPr>
        <w:t xml:space="preserve"> </w:t>
      </w:r>
      <w:r w:rsidRPr="00715EDC">
        <w:rPr>
          <w:lang w:eastAsia="ru-RU"/>
        </w:rPr>
        <w:t xml:space="preserve">Kaina nustatyta </w:t>
      </w:r>
      <w:r w:rsidR="0090373D">
        <w:rPr>
          <w:lang w:eastAsia="ru-RU"/>
        </w:rPr>
        <w:t>pagal sąmatą-pasiūlymą</w:t>
      </w:r>
      <w:r w:rsidRPr="00187BE7">
        <w:t xml:space="preserve">. </w:t>
      </w:r>
    </w:p>
    <w:p w14:paraId="3E808E91" w14:textId="77777777" w:rsidR="00E346FC" w:rsidRPr="00130A90" w:rsidRDefault="00E346FC" w:rsidP="00E346FC">
      <w:pPr>
        <w:spacing w:after="0" w:line="240" w:lineRule="auto"/>
        <w:ind w:firstLine="720"/>
        <w:jc w:val="both"/>
      </w:pPr>
      <w:r w:rsidRPr="00187BE7">
        <w:rPr>
          <w:lang w:eastAsia="ru-RU"/>
        </w:rPr>
        <w:t xml:space="preserve">2.2. </w:t>
      </w:r>
      <w:r w:rsidRPr="00187BE7">
        <w:t xml:space="preserve">Į Sutarties kainą įeina visos </w:t>
      </w:r>
      <w:r w:rsidRPr="005428C0">
        <w:t xml:space="preserve">Rangovo </w:t>
      </w:r>
      <w:r w:rsidRPr="00187BE7">
        <w:t xml:space="preserve">išlaidos, susijusios su Sutarties vykdymu </w:t>
      </w:r>
      <w:r>
        <w:t xml:space="preserve">- </w:t>
      </w:r>
      <w:r w:rsidRPr="00130A90">
        <w:rPr>
          <w:rFonts w:cs="Times New Roman"/>
          <w:szCs w:val="24"/>
        </w:rPr>
        <w:t xml:space="preserve">nurodytiems darbams atlikti reikalingų medžiagų, gaminių, mechanizmų eksploatacijos ir darbo užmokesčio </w:t>
      </w:r>
      <w:r w:rsidR="00316568" w:rsidRPr="00316568">
        <w:rPr>
          <w:rFonts w:cs="Times New Roman"/>
          <w:szCs w:val="24"/>
        </w:rPr>
        <w:t>vertė</w:t>
      </w:r>
      <w:r w:rsidR="00B05431" w:rsidRPr="00316568">
        <w:rPr>
          <w:rFonts w:cs="Times New Roman"/>
          <w:szCs w:val="24"/>
        </w:rPr>
        <w:t>s</w:t>
      </w:r>
      <w:r w:rsidRPr="00316568">
        <w:rPr>
          <w:rFonts w:cs="Times New Roman"/>
          <w:szCs w:val="24"/>
        </w:rPr>
        <w:t xml:space="preserve">, </w:t>
      </w:r>
      <w:r w:rsidRPr="00130A90">
        <w:rPr>
          <w:rFonts w:cs="Times New Roman"/>
          <w:szCs w:val="24"/>
        </w:rPr>
        <w:t>sociali</w:t>
      </w:r>
      <w:r w:rsidR="00316568">
        <w:rPr>
          <w:rFonts w:cs="Times New Roman"/>
          <w:szCs w:val="24"/>
        </w:rPr>
        <w:t>nio draudimo mokesčiai, pridėtinės vertės mokesčiai, kiti reikalingi mokesčiai bei kitos reikalingos išlaido</w:t>
      </w:r>
      <w:r w:rsidRPr="00130A90">
        <w:rPr>
          <w:rFonts w:cs="Times New Roman"/>
          <w:szCs w:val="24"/>
        </w:rPr>
        <w:t xml:space="preserve">s (įskaitant išlaidas sąskaitoms teikti informacinėje sistemoje „E. sąskaita“), kurias turi numatyti profesionalus ir atsakingas tiekėjas, taip pat </w:t>
      </w:r>
      <w:r w:rsidRPr="00130A90">
        <w:rPr>
          <w:rFonts w:cs="Times New Roman"/>
          <w:szCs w:val="24"/>
          <w:shd w:val="clear" w:color="auto" w:fill="FFFFFF"/>
        </w:rPr>
        <w:t>reikiamų pažymų gavimą pagal galiojančių teisės aktų reikalavimus jei yra reikalinga bei dang</w:t>
      </w:r>
      <w:r w:rsidR="007E0D44">
        <w:rPr>
          <w:rFonts w:cs="Times New Roman"/>
          <w:szCs w:val="24"/>
          <w:shd w:val="clear" w:color="auto" w:fill="FFFFFF"/>
        </w:rPr>
        <w:t>ų ir paviršių</w:t>
      </w:r>
      <w:r w:rsidRPr="00130A90">
        <w:rPr>
          <w:rFonts w:cs="Times New Roman"/>
          <w:szCs w:val="24"/>
          <w:shd w:val="clear" w:color="auto" w:fill="FFFFFF"/>
        </w:rPr>
        <w:t xml:space="preserve"> atstatymą</w:t>
      </w:r>
      <w:r w:rsidR="007E0D44">
        <w:rPr>
          <w:rFonts w:cs="Times New Roman"/>
          <w:szCs w:val="24"/>
          <w:shd w:val="clear" w:color="auto" w:fill="FFFFFF"/>
        </w:rPr>
        <w:t xml:space="preserve"> neremontuojamose patalpose, bet besiribojančiose su remontuojamomis patalpomis</w:t>
      </w:r>
      <w:r w:rsidRPr="00130A90">
        <w:t>.</w:t>
      </w:r>
    </w:p>
    <w:p w14:paraId="64EA1D07" w14:textId="77777777" w:rsidR="00E346FC" w:rsidRPr="00B77E0D" w:rsidRDefault="00E346FC" w:rsidP="00E346FC">
      <w:pPr>
        <w:tabs>
          <w:tab w:val="right" w:pos="1134"/>
        </w:tabs>
        <w:spacing w:after="0" w:line="240" w:lineRule="auto"/>
        <w:ind w:firstLine="720"/>
        <w:jc w:val="both"/>
        <w:rPr>
          <w:szCs w:val="24"/>
        </w:rPr>
      </w:pPr>
      <w:r>
        <w:rPr>
          <w:szCs w:val="24"/>
        </w:rPr>
        <w:t xml:space="preserve">2.3. </w:t>
      </w:r>
      <w:r w:rsidRPr="00040AA6">
        <w:rPr>
          <w:szCs w:val="24"/>
        </w:rPr>
        <w:t>Rangovas turi padengti savo lėšomis papildomas išlaidas dėl neįvertintų darbų proceso etapų, kuriuos Rangovas turėjo numatyti, vadovaudamasis pirkimo dokumentais (</w:t>
      </w:r>
      <w:r w:rsidR="00593A55" w:rsidRPr="00040AA6">
        <w:rPr>
          <w:szCs w:val="24"/>
        </w:rPr>
        <w:t>pirkimo sąlygomis</w:t>
      </w:r>
      <w:r w:rsidR="00593A55">
        <w:rPr>
          <w:szCs w:val="24"/>
        </w:rPr>
        <w:t>,</w:t>
      </w:r>
      <w:r w:rsidR="00921E30">
        <w:rPr>
          <w:szCs w:val="24"/>
        </w:rPr>
        <w:t xml:space="preserve"> t</w:t>
      </w:r>
      <w:r w:rsidR="00316568">
        <w:rPr>
          <w:szCs w:val="24"/>
        </w:rPr>
        <w:t xml:space="preserve">echnine specifikacija, </w:t>
      </w:r>
      <w:r w:rsidR="00593A55">
        <w:rPr>
          <w:szCs w:val="24"/>
        </w:rPr>
        <w:t xml:space="preserve">techniniu darbo projektu, </w:t>
      </w:r>
      <w:r w:rsidR="00316568">
        <w:rPr>
          <w:szCs w:val="24"/>
        </w:rPr>
        <w:t>žaliaisiais</w:t>
      </w:r>
      <w:r>
        <w:rPr>
          <w:szCs w:val="24"/>
        </w:rPr>
        <w:t xml:space="preserve"> reikalavimais, </w:t>
      </w:r>
      <w:r w:rsidR="00593A55">
        <w:rPr>
          <w:szCs w:val="24"/>
        </w:rPr>
        <w:t>ir/</w:t>
      </w:r>
      <w:r w:rsidRPr="00040AA6">
        <w:rPr>
          <w:szCs w:val="24"/>
        </w:rPr>
        <w:t>ar jų paaiškinimais).</w:t>
      </w:r>
    </w:p>
    <w:p w14:paraId="046872E8" w14:textId="77777777" w:rsidR="00E346FC" w:rsidRDefault="00E346FC" w:rsidP="00593A55">
      <w:pPr>
        <w:spacing w:after="0" w:line="240" w:lineRule="auto"/>
        <w:ind w:firstLine="720"/>
        <w:jc w:val="both"/>
      </w:pPr>
      <w:r w:rsidRPr="00187BE7">
        <w:lastRenderedPageBreak/>
        <w:t>2.</w:t>
      </w:r>
      <w:r>
        <w:t>4</w:t>
      </w:r>
      <w:r w:rsidRPr="00187BE7">
        <w:t xml:space="preserve">. Darbų </w:t>
      </w:r>
      <w:r w:rsidRPr="00187BE7">
        <w:rPr>
          <w:bCs/>
          <w:iCs/>
        </w:rPr>
        <w:t>kaina</w:t>
      </w:r>
      <w:r w:rsidRPr="00187BE7">
        <w:t xml:space="preserve"> per visą Sutarties galiojimo laiką yra pastovi ir negali būti keičiama, išskyrus atvejį, kai teisės aktais pakeičiamas </w:t>
      </w:r>
      <w:r w:rsidRPr="00BD1D8D">
        <w:t>prekėms taikomas</w:t>
      </w:r>
      <w:r w:rsidRPr="00BD1D8D">
        <w:rPr>
          <w:bCs/>
          <w:iCs/>
        </w:rPr>
        <w:t xml:space="preserve"> PVM</w:t>
      </w:r>
      <w:r w:rsidRPr="00187BE7">
        <w:rPr>
          <w:bCs/>
          <w:iCs/>
        </w:rPr>
        <w:t xml:space="preserve">. Prekių kainos pokyčio dydis yra proporcingas PVM tarifo pokyčio dydžiui. </w:t>
      </w:r>
      <w:r w:rsidRPr="00187BE7">
        <w:t>Perskaičiuota Sutarties ir/ar Darbų kaina įforminama Š</w:t>
      </w:r>
      <w:r w:rsidRPr="00187BE7">
        <w:rPr>
          <w:bCs/>
        </w:rPr>
        <w:t>alių</w:t>
      </w:r>
      <w:r w:rsidRPr="00187BE7">
        <w:t xml:space="preserve"> pasirašomu susitarimu, kuris tampa neatsiejama Sutarties dalimi. </w:t>
      </w:r>
    </w:p>
    <w:p w14:paraId="360CEE32" w14:textId="77777777" w:rsidR="00E346FC" w:rsidRPr="00B77E0D" w:rsidRDefault="00E346FC" w:rsidP="00E346FC">
      <w:pPr>
        <w:spacing w:after="0" w:line="240" w:lineRule="auto"/>
        <w:ind w:firstLine="720"/>
        <w:jc w:val="both"/>
      </w:pPr>
    </w:p>
    <w:p w14:paraId="291ACBAF" w14:textId="77777777" w:rsidR="00E346FC" w:rsidRDefault="00E346FC" w:rsidP="00E346FC">
      <w:pPr>
        <w:spacing w:after="0" w:line="240" w:lineRule="auto"/>
        <w:ind w:firstLine="720"/>
        <w:jc w:val="center"/>
        <w:rPr>
          <w:b/>
          <w:lang w:eastAsia="ru-RU"/>
        </w:rPr>
      </w:pPr>
      <w:r>
        <w:rPr>
          <w:b/>
          <w:lang w:eastAsia="ru-RU"/>
        </w:rPr>
        <w:t>III</w:t>
      </w:r>
      <w:r w:rsidRPr="00187BE7">
        <w:rPr>
          <w:b/>
          <w:lang w:eastAsia="ru-RU"/>
        </w:rPr>
        <w:t>. ATSISKAITYMO IR MOKĖJIMO TVARKA</w:t>
      </w:r>
    </w:p>
    <w:p w14:paraId="0404B20C" w14:textId="77777777" w:rsidR="00593A55" w:rsidRPr="00123B52" w:rsidRDefault="00593A55" w:rsidP="00803B19">
      <w:pPr>
        <w:spacing w:after="0" w:line="240" w:lineRule="auto"/>
        <w:ind w:firstLine="720"/>
        <w:jc w:val="both"/>
        <w:rPr>
          <w:b/>
          <w:lang w:eastAsia="ru-RU"/>
        </w:rPr>
      </w:pPr>
    </w:p>
    <w:p w14:paraId="432F360C" w14:textId="53B7FC2C" w:rsidR="00593A55" w:rsidRPr="00123B52" w:rsidRDefault="00593A55" w:rsidP="00803B19">
      <w:pPr>
        <w:spacing w:after="0" w:line="240" w:lineRule="auto"/>
        <w:ind w:firstLine="720"/>
        <w:jc w:val="both"/>
        <w:rPr>
          <w:b/>
          <w:bCs/>
          <w:lang w:eastAsia="ru-RU"/>
        </w:rPr>
      </w:pPr>
      <w:r w:rsidRPr="00123B52">
        <w:rPr>
          <w:lang w:eastAsia="ru-RU"/>
        </w:rPr>
        <w:t xml:space="preserve">3.1. </w:t>
      </w:r>
      <w:r w:rsidR="00BA55A0" w:rsidRPr="00123B52">
        <w:rPr>
          <w:bCs/>
          <w:lang w:eastAsia="ru-RU"/>
        </w:rPr>
        <w:t xml:space="preserve">Sutartyje </w:t>
      </w:r>
      <w:r w:rsidR="00370A70">
        <w:rPr>
          <w:bCs/>
          <w:lang w:eastAsia="ru-RU"/>
        </w:rPr>
        <w:t>nenumatomas avansinis mokėjimas.</w:t>
      </w:r>
    </w:p>
    <w:p w14:paraId="05395356" w14:textId="0616DC0F" w:rsidR="00E346FC" w:rsidRPr="00187BE7" w:rsidRDefault="00E346FC" w:rsidP="00E346FC">
      <w:pPr>
        <w:spacing w:after="0" w:line="240" w:lineRule="auto"/>
        <w:ind w:firstLine="720"/>
        <w:jc w:val="both"/>
        <w:rPr>
          <w:lang w:eastAsia="ru-RU"/>
        </w:rPr>
      </w:pPr>
      <w:r w:rsidRPr="00187BE7">
        <w:rPr>
          <w:lang w:eastAsia="ru-RU"/>
        </w:rPr>
        <w:t>3.</w:t>
      </w:r>
      <w:r w:rsidR="00C31F23">
        <w:rPr>
          <w:lang w:eastAsia="ru-RU"/>
        </w:rPr>
        <w:t>2</w:t>
      </w:r>
      <w:r w:rsidRPr="00187BE7">
        <w:rPr>
          <w:lang w:eastAsia="ru-RU"/>
        </w:rPr>
        <w:t xml:space="preserve">. Už atliktus Darbus Užsakovas su Rangovu atsiskaito mokėjimo pavedimu, pinigus pervesdamas į Rangovo atsiskaitomąją sąskaitą </w:t>
      </w:r>
      <w:r w:rsidRPr="00D86CCC">
        <w:rPr>
          <w:b/>
          <w:bCs/>
          <w:lang w:eastAsia="ru-RU"/>
        </w:rPr>
        <w:t>ne vėliau kaip per 30 (trisdešimt) kalendorinių dienų</w:t>
      </w:r>
      <w:r w:rsidRPr="00187BE7">
        <w:rPr>
          <w:lang w:eastAsia="ru-RU"/>
        </w:rPr>
        <w:t xml:space="preserve"> nuo PVM sąskaitos faktūros gavimo dienos, prieš tai pasirašius Rangovo </w:t>
      </w:r>
      <w:r w:rsidR="00C31F23">
        <w:rPr>
          <w:lang w:eastAsia="ru-RU"/>
        </w:rPr>
        <w:t xml:space="preserve">tinkamai atliktus ir perduotus Darbus pagal </w:t>
      </w:r>
      <w:r w:rsidRPr="00187BE7">
        <w:rPr>
          <w:lang w:eastAsia="ru-RU"/>
        </w:rPr>
        <w:t>pare</w:t>
      </w:r>
      <w:r w:rsidR="00593A55">
        <w:rPr>
          <w:lang w:eastAsia="ru-RU"/>
        </w:rPr>
        <w:t>n</w:t>
      </w:r>
      <w:r w:rsidR="00C31F23">
        <w:rPr>
          <w:lang w:eastAsia="ru-RU"/>
        </w:rPr>
        <w:t>gtus</w:t>
      </w:r>
      <w:r w:rsidR="00A907C7">
        <w:rPr>
          <w:lang w:eastAsia="ru-RU"/>
        </w:rPr>
        <w:t xml:space="preserve"> tarpinius</w:t>
      </w:r>
      <w:r w:rsidR="00C31F23">
        <w:rPr>
          <w:lang w:eastAsia="ru-RU"/>
        </w:rPr>
        <w:t xml:space="preserve"> </w:t>
      </w:r>
      <w:r w:rsidRPr="00187BE7">
        <w:rPr>
          <w:lang w:eastAsia="ru-RU"/>
        </w:rPr>
        <w:t>Darbų priėmimo - perdavimo akt</w:t>
      </w:r>
      <w:r w:rsidR="00C31F23">
        <w:rPr>
          <w:lang w:eastAsia="ru-RU"/>
        </w:rPr>
        <w:t>us</w:t>
      </w:r>
      <w:r w:rsidR="00370A70">
        <w:rPr>
          <w:lang w:eastAsia="ru-RU"/>
        </w:rPr>
        <w:t xml:space="preserve"> (atskirai kiekvienai patalpai)</w:t>
      </w:r>
      <w:r w:rsidRPr="00187BE7">
        <w:rPr>
          <w:lang w:eastAsia="ru-RU"/>
        </w:rPr>
        <w:t xml:space="preserve">. </w:t>
      </w:r>
      <w:r w:rsidR="00C31F23">
        <w:rPr>
          <w:lang w:eastAsia="ru-RU"/>
        </w:rPr>
        <w:t xml:space="preserve">Apmokėjimas pagal </w:t>
      </w:r>
      <w:r w:rsidR="00F9351D">
        <w:rPr>
          <w:lang w:eastAsia="ru-RU"/>
        </w:rPr>
        <w:t>galutinį</w:t>
      </w:r>
      <w:r w:rsidR="00A907C7">
        <w:rPr>
          <w:lang w:eastAsia="ru-RU"/>
        </w:rPr>
        <w:t xml:space="preserve"> </w:t>
      </w:r>
      <w:r w:rsidR="00C31F23">
        <w:rPr>
          <w:lang w:eastAsia="ru-RU"/>
        </w:rPr>
        <w:t>Darbų priėmimo-perdavimo aktą galimas tik Rangovui visiškai įvykdžius savo įsipareigojimų dalį pagal šią Sutartį.</w:t>
      </w:r>
    </w:p>
    <w:p w14:paraId="033ED014" w14:textId="77777777" w:rsidR="00E346FC" w:rsidRPr="00187BE7" w:rsidRDefault="00E346FC" w:rsidP="00E346FC">
      <w:pPr>
        <w:spacing w:after="0" w:line="240" w:lineRule="auto"/>
        <w:ind w:firstLine="720"/>
        <w:jc w:val="both"/>
        <w:rPr>
          <w:lang w:eastAsia="ru-RU"/>
        </w:rPr>
      </w:pPr>
      <w:r w:rsidRPr="00715EDC">
        <w:rPr>
          <w:lang w:eastAsia="ru-RU"/>
        </w:rPr>
        <w:t>3.</w:t>
      </w:r>
      <w:r w:rsidR="00C31F23" w:rsidRPr="00715EDC">
        <w:rPr>
          <w:lang w:eastAsia="ru-RU"/>
        </w:rPr>
        <w:t>3</w:t>
      </w:r>
      <w:r w:rsidRPr="00715EDC">
        <w:rPr>
          <w:lang w:eastAsia="ru-RU"/>
        </w:rPr>
        <w:t xml:space="preserve">. </w:t>
      </w:r>
      <w:r w:rsidR="008513A6" w:rsidRPr="00715EDC">
        <w:rPr>
          <w:lang w:eastAsia="ru-RU"/>
        </w:rPr>
        <w:t>Visi mokėjimai ir atsiskaitymai pagal sutartį vykdomi Lietuvos Respublikos nacionaline valiuta – eurais. Rangovas sąskaitą faktūrą privalo pateikti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Rangovo pasirinktomis elektroninėmis priemonėmis. Europos elektroninių sąskaitų faktūrų standarto neatitinkančios elektroninės sąskaitos faktūros teikiamos tik naudojantis informacinės sistemos „E. sąskaita“ priemonėmis (elektroninės paslaugos „E. sąskaita“ svetainė pasiekiama adresu www.esaskaita.eu). Užsakovas elektronines sąskaitas faktūras priima ir apdoroja, naudodamasis informacinės sistemos „E. sąskaita“ priemonėmis, išskyrus Lietuvos Respublikos viešųjų pirkimų įstatymo (toliau – Viešųjų pirkimų įstatymas) 22 straipsnio 12 dalyje nustatytus atvejus. Elektroninė sąskaita faktūra suprantama kaip sąskaita faktūra, išrašyta, perduota ir gauta tokiu elektroniniu formatu, kuris sudaro galimybę ją apdoroti automatiniu ir elektroniniu būdu.</w:t>
      </w:r>
      <w:r w:rsidR="006A4A20">
        <w:rPr>
          <w:lang w:eastAsia="ru-RU"/>
        </w:rPr>
        <w:t xml:space="preserve"> </w:t>
      </w:r>
      <w:r w:rsidRPr="00715EDC">
        <w:rPr>
          <w:lang w:eastAsia="ru-RU"/>
        </w:rPr>
        <w:t>Rangovui nepateikus sąskaitos faktūros per „E. sąskaita“, Užsakovas turi teisę nevykdyti mokėjimo.</w:t>
      </w:r>
    </w:p>
    <w:p w14:paraId="1BC14DD5" w14:textId="77777777" w:rsidR="00E346FC" w:rsidRPr="00187BE7" w:rsidRDefault="00E346FC" w:rsidP="00E346FC">
      <w:pPr>
        <w:spacing w:after="0" w:line="240" w:lineRule="auto"/>
        <w:ind w:firstLine="720"/>
        <w:jc w:val="both"/>
        <w:rPr>
          <w:lang w:eastAsia="ru-RU"/>
        </w:rPr>
      </w:pPr>
      <w:r w:rsidRPr="00187BE7">
        <w:rPr>
          <w:lang w:eastAsia="ru-RU"/>
        </w:rPr>
        <w:t>3.</w:t>
      </w:r>
      <w:r w:rsidR="00C31F23">
        <w:rPr>
          <w:lang w:eastAsia="ru-RU"/>
        </w:rPr>
        <w:t>4</w:t>
      </w:r>
      <w:r w:rsidRPr="00187BE7">
        <w:rPr>
          <w:lang w:eastAsia="ru-RU"/>
        </w:rPr>
        <w:t>. Užsakovas turi teisę sulaikyti apmokėjimą, jei:</w:t>
      </w:r>
    </w:p>
    <w:p w14:paraId="61D3B18E" w14:textId="77777777" w:rsidR="00E346FC" w:rsidRPr="00187BE7" w:rsidRDefault="00C31F23" w:rsidP="00E346FC">
      <w:pPr>
        <w:spacing w:after="0" w:line="240" w:lineRule="auto"/>
        <w:ind w:firstLine="720"/>
        <w:jc w:val="both"/>
        <w:rPr>
          <w:lang w:eastAsia="ru-RU"/>
        </w:rPr>
      </w:pPr>
      <w:r>
        <w:rPr>
          <w:lang w:eastAsia="ru-RU"/>
        </w:rPr>
        <w:t>3.4</w:t>
      </w:r>
      <w:r w:rsidR="00E346FC" w:rsidRPr="00187BE7">
        <w:rPr>
          <w:lang w:eastAsia="ru-RU"/>
        </w:rPr>
        <w:t>.1. po atliktų Darbų priėmimo - perdavimo akto pasirašymo paaiškėja atliktų Darbų rezultato trūkumai, jeigu jų nebuvo įmanoma pastebėti Darbų perdavimo ir priėmimo metu;</w:t>
      </w:r>
    </w:p>
    <w:p w14:paraId="114F88E1" w14:textId="77777777" w:rsidR="00E346FC" w:rsidRPr="00187BE7" w:rsidRDefault="00C31F23" w:rsidP="00E346FC">
      <w:pPr>
        <w:spacing w:after="0" w:line="240" w:lineRule="auto"/>
        <w:ind w:firstLine="720"/>
        <w:jc w:val="both"/>
        <w:rPr>
          <w:lang w:eastAsia="ru-RU"/>
        </w:rPr>
      </w:pPr>
      <w:r>
        <w:rPr>
          <w:lang w:eastAsia="ru-RU"/>
        </w:rPr>
        <w:t>3.4</w:t>
      </w:r>
      <w:r w:rsidR="00E346FC" w:rsidRPr="00187BE7">
        <w:rPr>
          <w:lang w:eastAsia="ru-RU"/>
        </w:rPr>
        <w:t>.2. po atliktų Darbų priėmimo - perdavimo akto pasirašymo paaiškėja, kad Užsakovui padaryti nuostoliai dėl Rangovo kaltės (pvz. sugadinta įranga, pažeistos komunikacijos, tinklai ir pan.).</w:t>
      </w:r>
    </w:p>
    <w:p w14:paraId="3342CF9E" w14:textId="77777777" w:rsidR="00E346FC" w:rsidRPr="00187BE7" w:rsidRDefault="00C31F23" w:rsidP="00E346FC">
      <w:pPr>
        <w:spacing w:after="0" w:line="240" w:lineRule="auto"/>
        <w:ind w:firstLine="720"/>
        <w:jc w:val="both"/>
      </w:pPr>
      <w:r>
        <w:rPr>
          <w:lang w:eastAsia="ru-RU"/>
        </w:rPr>
        <w:t>3.5</w:t>
      </w:r>
      <w:r w:rsidR="00E346FC">
        <w:rPr>
          <w:lang w:eastAsia="ru-RU"/>
        </w:rPr>
        <w:t xml:space="preserve">. </w:t>
      </w:r>
      <w:r w:rsidR="00E346FC" w:rsidRPr="00187BE7">
        <w:rPr>
          <w:lang w:eastAsia="ru-RU"/>
        </w:rPr>
        <w:t>Užsakovas, nepagrįstai uždelsęs atsiskaityti už atliktus Darbus nustatytuoju laiku, moka</w:t>
      </w:r>
      <w:r w:rsidR="00E346FC">
        <w:rPr>
          <w:lang w:eastAsia="ru-RU"/>
        </w:rPr>
        <w:t xml:space="preserve"> Rangovui 0,02</w:t>
      </w:r>
      <w:r w:rsidR="00E346FC" w:rsidRPr="00187BE7">
        <w:rPr>
          <w:lang w:eastAsia="ru-RU"/>
        </w:rPr>
        <w:t xml:space="preserve"> proc. dydžio delspinigius už kiekvieną uždelstą dieną, skaičiuojant nuo atliktų, bet neapmokėtų Darbų kainos.</w:t>
      </w:r>
    </w:p>
    <w:p w14:paraId="2523BCDD" w14:textId="77777777" w:rsidR="00E346FC" w:rsidRDefault="00C31F23" w:rsidP="00E346FC">
      <w:pPr>
        <w:spacing w:after="0" w:line="240" w:lineRule="auto"/>
        <w:ind w:firstLine="720"/>
        <w:jc w:val="both"/>
      </w:pPr>
      <w:r>
        <w:t>3.6</w:t>
      </w:r>
      <w:r w:rsidR="00E346FC">
        <w:t xml:space="preserve">. </w:t>
      </w:r>
      <w:r w:rsidR="00E346FC" w:rsidRPr="00187BE7">
        <w:t>Užsakovas gali tiesiogiai atsiskaityti su Subrangovais už jų atliktus darbus. Apie tai Užsakovas raštu informuoja Subrangovus per 3 darbo dienas po informacijos apie juos gavimo. Subrangovui raštu pateikus prašymą pasinaudoti tiesioginio atsiskaitymo galimybe, sudaroma trišalė sutartis tarp Užsakovo, Rangovo ir jo Subrangovo, nustatanti tiesioginio atsiskaitymo su Subrangovu tvarką, atsižvelgiant į pirkimo dokumentuose, Sutartyje ir subrangos sutartyje nustatytus reikalavimus. Rangovas turi teisę prieštarauti nepagrįstiems mokėjimams Subrangovui trišalėje sutartyje nustatyta tvarka.</w:t>
      </w:r>
    </w:p>
    <w:p w14:paraId="6711234E" w14:textId="628EAEAA" w:rsidR="00E346FC" w:rsidRDefault="00E346FC" w:rsidP="00E346FC">
      <w:pPr>
        <w:spacing w:after="0" w:line="240" w:lineRule="auto"/>
        <w:ind w:firstLine="720"/>
        <w:jc w:val="both"/>
      </w:pPr>
      <w:r>
        <w:t>3.</w:t>
      </w:r>
      <w:r w:rsidR="00C31F23">
        <w:t>7</w:t>
      </w:r>
      <w:r>
        <w:t xml:space="preserve">. </w:t>
      </w:r>
      <w:r w:rsidR="00370A70">
        <w:t>Techninėje specifikacijoje (</w:t>
      </w:r>
      <w:r w:rsidR="00C31F23" w:rsidRPr="00316568">
        <w:t>Sutarties 1 priedas)</w:t>
      </w:r>
      <w:r w:rsidR="00370A70">
        <w:t xml:space="preserve"> </w:t>
      </w:r>
      <w:r w:rsidRPr="00501C77">
        <w:t>nurodyti Darbų kiekiai (fiziniais mato vienetais) yra orientaciniai. Faktiniai Darbų kiekiai, reikalingi numatytiems darbams įvykdyti, gali būti iki 15 proc. didesni arba mažesni už nurodytus Darbų kiekius.</w:t>
      </w:r>
      <w:r w:rsidRPr="00DB2251">
        <w:t xml:space="preserve"> Faktiniai Darbų k</w:t>
      </w:r>
      <w:r>
        <w:t>iekiai, viršijantys nustatytą 15</w:t>
      </w:r>
      <w:r w:rsidRPr="00DB2251">
        <w:t xml:space="preserve"> proc. svyravimo ribą, turi būti laikomi papildomais darbais arba </w:t>
      </w:r>
      <w:r w:rsidRPr="00DB2251">
        <w:lastRenderedPageBreak/>
        <w:t xml:space="preserve">atsisakomais darbais, ir turi būti perkami papildomai arba atsisakomi </w:t>
      </w:r>
      <w:r w:rsidR="00BF6E86">
        <w:t xml:space="preserve">vadovaujantis </w:t>
      </w:r>
      <w:r w:rsidR="00BF6E86" w:rsidRPr="00F672F3">
        <w:t>Viešųjų pirkimų įstatymo 89 straipsniu.</w:t>
      </w:r>
    </w:p>
    <w:p w14:paraId="178449F2" w14:textId="77777777" w:rsidR="00BE3536" w:rsidRDefault="00BE3536" w:rsidP="00E346FC">
      <w:pPr>
        <w:spacing w:after="0" w:line="240" w:lineRule="auto"/>
        <w:ind w:firstLine="720"/>
        <w:jc w:val="both"/>
      </w:pPr>
    </w:p>
    <w:p w14:paraId="49157DE3" w14:textId="77777777" w:rsidR="00BE3536" w:rsidRDefault="00BE3536" w:rsidP="00BE3536">
      <w:pPr>
        <w:spacing w:after="0" w:line="240" w:lineRule="auto"/>
        <w:ind w:firstLine="720"/>
        <w:jc w:val="center"/>
        <w:rPr>
          <w:b/>
        </w:rPr>
      </w:pPr>
      <w:r w:rsidRPr="00BE3536">
        <w:rPr>
          <w:b/>
        </w:rPr>
        <w:t>IV. ATLIKTŲ DARBŲ PERDAVIMAS IR PRIĖMIMAS</w:t>
      </w:r>
    </w:p>
    <w:p w14:paraId="588B576A" w14:textId="77777777" w:rsidR="00BE3536" w:rsidRDefault="00BE3536" w:rsidP="00BE3536">
      <w:pPr>
        <w:spacing w:after="0" w:line="240" w:lineRule="auto"/>
        <w:ind w:firstLine="720"/>
        <w:jc w:val="center"/>
        <w:rPr>
          <w:b/>
        </w:rPr>
      </w:pPr>
    </w:p>
    <w:p w14:paraId="77B76391" w14:textId="3B56F3C9" w:rsidR="00F9351D" w:rsidRDefault="00B90C5F" w:rsidP="00F9351D">
      <w:pPr>
        <w:spacing w:after="0" w:line="240" w:lineRule="auto"/>
        <w:ind w:firstLine="720"/>
        <w:jc w:val="both"/>
      </w:pPr>
      <w:r>
        <w:t>4</w:t>
      </w:r>
      <w:r w:rsidR="00F9351D">
        <w:t>.1. Darbai pagal Sutartį perduodami ir priimami pagal Atliktų darbų aktą (aktus) – toliau Aktas (</w:t>
      </w:r>
      <w:r w:rsidR="00F9351D" w:rsidRPr="00175EB4">
        <w:t>Sutarties priedas Nr.</w:t>
      </w:r>
      <w:r w:rsidR="00F9351D">
        <w:t>3</w:t>
      </w:r>
      <w:r w:rsidR="00F9351D" w:rsidRPr="00175EB4">
        <w:t xml:space="preserve">). </w:t>
      </w:r>
      <w:r w:rsidR="00F9351D">
        <w:t>Darbų įvykdymo data laikoma data, kai Užsakovas pasirašo dvišalį Aktą. Akte Rangovas turi nurodyti Darbų pavadinimą (pagal įvardintus Techninėje specifikacijoje (Sutarties priedas Nr. 1)), atliktų darbų procentą bei jų vertę.</w:t>
      </w:r>
    </w:p>
    <w:p w14:paraId="1328A385" w14:textId="5173B82C" w:rsidR="00F9351D" w:rsidRDefault="00F9351D" w:rsidP="00F9351D">
      <w:pPr>
        <w:spacing w:after="0" w:line="240" w:lineRule="auto"/>
        <w:ind w:firstLine="720"/>
        <w:jc w:val="both"/>
      </w:pPr>
      <w:r>
        <w:t xml:space="preserve">4.2 Rangovui už tinkamai atliktus Darbus yra sumokama ne daugiau kaip 95 </w:t>
      </w:r>
      <w:r>
        <w:rPr>
          <w:rFonts w:cs="Times New Roman"/>
        </w:rPr>
        <w:t>%</w:t>
      </w:r>
      <w:r>
        <w:t xml:space="preserve"> (devyniasdešimt penki procentai) atliktų Darbų kainos. Likusieji 5</w:t>
      </w:r>
      <w:r>
        <w:rPr>
          <w:rFonts w:cs="Times New Roman"/>
        </w:rPr>
        <w:t>%</w:t>
      </w:r>
      <w:r>
        <w:t xml:space="preserve"> (penki procentai) yra sumokami po galutinio Akto ir Rangovo atliktų darbų perdavimo Užsakovui</w:t>
      </w:r>
    </w:p>
    <w:p w14:paraId="12FBEBB9" w14:textId="77777777" w:rsidR="007F7221" w:rsidRPr="00187BE7" w:rsidRDefault="007F7221" w:rsidP="007F7221">
      <w:pPr>
        <w:spacing w:after="0" w:line="240" w:lineRule="auto"/>
        <w:ind w:firstLine="720"/>
        <w:jc w:val="both"/>
      </w:pPr>
    </w:p>
    <w:p w14:paraId="658EC7B6" w14:textId="77777777" w:rsidR="00E346FC" w:rsidRDefault="00E346FC" w:rsidP="00E346FC">
      <w:pPr>
        <w:spacing w:after="0" w:line="240" w:lineRule="auto"/>
        <w:ind w:firstLine="720"/>
        <w:jc w:val="center"/>
        <w:rPr>
          <w:b/>
          <w:lang w:eastAsia="ru-RU"/>
        </w:rPr>
      </w:pPr>
      <w:r>
        <w:rPr>
          <w:b/>
          <w:lang w:eastAsia="ru-RU"/>
        </w:rPr>
        <w:t>V</w:t>
      </w:r>
      <w:r w:rsidRPr="00187BE7">
        <w:rPr>
          <w:b/>
          <w:lang w:eastAsia="ru-RU"/>
        </w:rPr>
        <w:t>. DARBŲ ATLIKIMO TERMINAI</w:t>
      </w:r>
    </w:p>
    <w:p w14:paraId="3190711A" w14:textId="77777777" w:rsidR="007F7221" w:rsidRPr="00187BE7" w:rsidRDefault="007F7221" w:rsidP="00E346FC">
      <w:pPr>
        <w:spacing w:after="0" w:line="240" w:lineRule="auto"/>
        <w:ind w:firstLine="720"/>
        <w:jc w:val="center"/>
        <w:rPr>
          <w:b/>
          <w:lang w:eastAsia="ru-RU"/>
        </w:rPr>
      </w:pPr>
    </w:p>
    <w:p w14:paraId="0D4FC013" w14:textId="147A3954" w:rsidR="00E346FC" w:rsidRDefault="007F7221" w:rsidP="007F7221">
      <w:pPr>
        <w:tabs>
          <w:tab w:val="left" w:pos="709"/>
          <w:tab w:val="left" w:pos="1134"/>
        </w:tabs>
        <w:spacing w:after="0" w:line="240" w:lineRule="auto"/>
        <w:jc w:val="both"/>
        <w:rPr>
          <w:szCs w:val="24"/>
          <w:lang w:eastAsia="ru-RU"/>
        </w:rPr>
      </w:pPr>
      <w:r>
        <w:rPr>
          <w:szCs w:val="24"/>
          <w:lang w:eastAsia="ru-RU"/>
        </w:rPr>
        <w:tab/>
        <w:t xml:space="preserve">5.1. </w:t>
      </w:r>
      <w:r w:rsidR="00E346FC" w:rsidRPr="00816B6A">
        <w:rPr>
          <w:szCs w:val="24"/>
          <w:lang w:eastAsia="ru-RU"/>
        </w:rPr>
        <w:t>Rangovas darbus pradeda vykdyti</w:t>
      </w:r>
      <w:r w:rsidR="00370A70">
        <w:rPr>
          <w:szCs w:val="24"/>
          <w:lang w:eastAsia="ru-RU"/>
        </w:rPr>
        <w:t xml:space="preserve"> nedelsiant, arba ne vėliau kaip</w:t>
      </w:r>
      <w:r w:rsidR="00E346FC" w:rsidRPr="00816B6A">
        <w:rPr>
          <w:szCs w:val="24"/>
          <w:lang w:eastAsia="ru-RU"/>
        </w:rPr>
        <w:t xml:space="preserve"> per 5 (penkias) darbo dienas nuo Sutarties įsigaliojimo dienos.</w:t>
      </w:r>
    </w:p>
    <w:p w14:paraId="47885345" w14:textId="37AE74D8" w:rsidR="00E346FC" w:rsidRPr="00D83AA7" w:rsidRDefault="007F7221" w:rsidP="007F7221">
      <w:pPr>
        <w:tabs>
          <w:tab w:val="left" w:pos="709"/>
        </w:tabs>
        <w:spacing w:after="0" w:line="240" w:lineRule="auto"/>
        <w:jc w:val="both"/>
        <w:rPr>
          <w:szCs w:val="24"/>
          <w:lang w:eastAsia="ru-RU"/>
        </w:rPr>
      </w:pPr>
      <w:r>
        <w:rPr>
          <w:b/>
          <w:szCs w:val="24"/>
          <w:lang w:eastAsia="ru-RU"/>
        </w:rPr>
        <w:tab/>
      </w:r>
      <w:r w:rsidRPr="007F7221">
        <w:rPr>
          <w:szCs w:val="24"/>
          <w:lang w:eastAsia="ru-RU"/>
        </w:rPr>
        <w:t>5.2</w:t>
      </w:r>
      <w:r>
        <w:rPr>
          <w:b/>
          <w:szCs w:val="24"/>
          <w:lang w:eastAsia="ru-RU"/>
        </w:rPr>
        <w:t xml:space="preserve">. </w:t>
      </w:r>
      <w:r w:rsidR="00E346FC" w:rsidRPr="007F7221">
        <w:rPr>
          <w:szCs w:val="24"/>
          <w:lang w:eastAsia="ru-RU"/>
        </w:rPr>
        <w:t xml:space="preserve">Rangovas darbus </w:t>
      </w:r>
      <w:r w:rsidR="00E346FC" w:rsidRPr="00826F6D">
        <w:rPr>
          <w:szCs w:val="24"/>
          <w:lang w:eastAsia="ru-RU"/>
        </w:rPr>
        <w:t xml:space="preserve">užbaigia ir perduoda (pateikia </w:t>
      </w:r>
      <w:r w:rsidR="00F9351D">
        <w:rPr>
          <w:szCs w:val="24"/>
          <w:lang w:eastAsia="ru-RU"/>
        </w:rPr>
        <w:t xml:space="preserve">galutinį </w:t>
      </w:r>
      <w:r w:rsidR="00E346FC" w:rsidRPr="00826F6D">
        <w:rPr>
          <w:szCs w:val="24"/>
          <w:lang w:eastAsia="ru-RU"/>
        </w:rPr>
        <w:t xml:space="preserve">atliktų Darbų perdavimo - priėmimo aktą) Užsakovui per </w:t>
      </w:r>
      <w:r w:rsidR="00720B01" w:rsidRPr="00826F6D">
        <w:rPr>
          <w:szCs w:val="24"/>
          <w:lang w:eastAsia="ru-RU"/>
        </w:rPr>
        <w:t>Sutarties 1.7 punkte nurodytą terminą</w:t>
      </w:r>
      <w:r w:rsidR="001C6284">
        <w:rPr>
          <w:szCs w:val="24"/>
          <w:lang w:eastAsia="ru-RU"/>
        </w:rPr>
        <w:t xml:space="preserve">. </w:t>
      </w:r>
      <w:r w:rsidR="00E346FC" w:rsidRPr="0034503E">
        <w:t xml:space="preserve">Darbų atlikimo terminas yra esminė sutarties sąlygų dalis. </w:t>
      </w:r>
      <w:r w:rsidR="00E346FC" w:rsidRPr="00BD7D5A">
        <w:t>Į</w:t>
      </w:r>
      <w:r w:rsidR="00E346FC" w:rsidRPr="00E363D7">
        <w:t xml:space="preserve"> darbų atlikimo terminą neįskaitomas darbų atlikimo sustabdymo laikotarpis, kurio poreikis atsiranda ne dėl tiekėjo kaltės.</w:t>
      </w:r>
    </w:p>
    <w:p w14:paraId="53EF6B03" w14:textId="0C0A7F06" w:rsidR="00E346FC" w:rsidRPr="00187BE7" w:rsidRDefault="007F7221" w:rsidP="00E346FC">
      <w:pPr>
        <w:spacing w:after="0" w:line="240" w:lineRule="auto"/>
        <w:ind w:firstLine="720"/>
        <w:jc w:val="both"/>
      </w:pPr>
      <w:r>
        <w:rPr>
          <w:szCs w:val="24"/>
        </w:rPr>
        <w:t>5</w:t>
      </w:r>
      <w:r w:rsidR="00E346FC" w:rsidRPr="00816B6A">
        <w:rPr>
          <w:szCs w:val="24"/>
        </w:rPr>
        <w:t>.3. Jeigu Rangovas vėluoja atlikti Darbus iki Darbų atlikimo termino, nurodyto Sutarties</w:t>
      </w:r>
      <w:r w:rsidR="00370A70">
        <w:rPr>
          <w:szCs w:val="24"/>
        </w:rPr>
        <w:t xml:space="preserve"> </w:t>
      </w:r>
      <w:r>
        <w:t>5</w:t>
      </w:r>
      <w:r w:rsidR="00E346FC" w:rsidRPr="00187BE7">
        <w:t>.</w:t>
      </w:r>
      <w:r>
        <w:t>2</w:t>
      </w:r>
      <w:r w:rsidR="00E346FC" w:rsidRPr="00187BE7">
        <w:t xml:space="preserve"> punkte pabaigos ir nepateikia Užsakovui pagrįstų įrodymų, pateisinančių Darbų vėlavimą</w:t>
      </w:r>
      <w:r w:rsidR="006A4A20">
        <w:t xml:space="preserve"> </w:t>
      </w:r>
      <w:r w:rsidR="00E346FC">
        <w:t>moka Užsakovui delspinigius</w:t>
      </w:r>
      <w:r w:rsidR="00E346FC" w:rsidRPr="00187BE7">
        <w:t>, kurių dydis yra 0.0</w:t>
      </w:r>
      <w:r w:rsidR="00E346FC">
        <w:t>2</w:t>
      </w:r>
      <w:r w:rsidR="00E346FC" w:rsidRPr="00187BE7">
        <w:t xml:space="preserve"> proc.</w:t>
      </w:r>
      <w:r w:rsidR="00E346FC" w:rsidRPr="00187BE7">
        <w:rPr>
          <w:lang w:eastAsia="ru-RU"/>
        </w:rPr>
        <w:t xml:space="preserve"> už kiekvieną uždelstą dieną, skaičiuojant nuo </w:t>
      </w:r>
      <w:r w:rsidR="00E346FC">
        <w:rPr>
          <w:lang w:eastAsia="ru-RU"/>
        </w:rPr>
        <w:t xml:space="preserve">neatliktų </w:t>
      </w:r>
      <w:r w:rsidR="00E346FC" w:rsidRPr="00187BE7">
        <w:rPr>
          <w:lang w:eastAsia="ru-RU"/>
        </w:rPr>
        <w:t>Darbų kainos.</w:t>
      </w:r>
    </w:p>
    <w:p w14:paraId="22E92FFA" w14:textId="77777777" w:rsidR="00E346FC" w:rsidRDefault="007F7221" w:rsidP="00E346FC">
      <w:pPr>
        <w:spacing w:after="0" w:line="240" w:lineRule="auto"/>
        <w:ind w:firstLine="720"/>
        <w:jc w:val="both"/>
      </w:pPr>
      <w:r>
        <w:t>5</w:t>
      </w:r>
      <w:r w:rsidR="00E346FC" w:rsidRPr="00187BE7">
        <w:t>.</w:t>
      </w:r>
      <w:r w:rsidR="00E346FC">
        <w:t>4</w:t>
      </w:r>
      <w:r w:rsidR="00E346FC" w:rsidRPr="00187BE7">
        <w:t>. Delspinigių nebus reikalaujama, jei vėluojama dėl priežasčių, nepriklausančių nuo Rangovo.</w:t>
      </w:r>
    </w:p>
    <w:p w14:paraId="66E25426" w14:textId="77777777" w:rsidR="00E346FC" w:rsidRDefault="00E346FC" w:rsidP="00E346FC">
      <w:pPr>
        <w:spacing w:after="0" w:line="240" w:lineRule="auto"/>
        <w:ind w:firstLine="720"/>
        <w:jc w:val="both"/>
        <w:rPr>
          <w:lang w:eastAsia="ru-RU"/>
        </w:rPr>
      </w:pPr>
    </w:p>
    <w:p w14:paraId="13C316D7" w14:textId="77777777" w:rsidR="00EA49E2" w:rsidRPr="00826F6D" w:rsidRDefault="00EA49E2" w:rsidP="00921E30">
      <w:pPr>
        <w:spacing w:after="0" w:line="240" w:lineRule="auto"/>
        <w:ind w:firstLine="720"/>
        <w:jc w:val="center"/>
        <w:rPr>
          <w:b/>
          <w:bCs/>
          <w:lang w:eastAsia="ru-RU"/>
        </w:rPr>
      </w:pPr>
      <w:r w:rsidRPr="00826F6D">
        <w:rPr>
          <w:b/>
          <w:bCs/>
          <w:lang w:val="en-GB" w:eastAsia="ru-RU"/>
        </w:rPr>
        <w:t>VI.</w:t>
      </w:r>
      <w:r w:rsidRPr="00826F6D">
        <w:rPr>
          <w:b/>
          <w:bCs/>
          <w:lang w:eastAsia="ru-RU"/>
        </w:rPr>
        <w:t xml:space="preserve"> ŠALIŲ TEISĖS IR PAREIGOS</w:t>
      </w:r>
    </w:p>
    <w:p w14:paraId="3E4FF233" w14:textId="77777777" w:rsidR="00EA49E2" w:rsidRPr="00826F6D" w:rsidRDefault="00EA49E2" w:rsidP="00EA49E2">
      <w:pPr>
        <w:spacing w:after="0" w:line="240" w:lineRule="auto"/>
        <w:ind w:firstLine="720"/>
        <w:jc w:val="both"/>
        <w:rPr>
          <w:lang w:eastAsia="ru-RU"/>
        </w:rPr>
      </w:pPr>
    </w:p>
    <w:p w14:paraId="1C0B5BEE" w14:textId="77777777" w:rsidR="00EA49E2" w:rsidRPr="00826F6D" w:rsidRDefault="00EA49E2" w:rsidP="00EA49E2">
      <w:pPr>
        <w:spacing w:after="0" w:line="240" w:lineRule="auto"/>
        <w:ind w:firstLine="720"/>
        <w:jc w:val="both"/>
        <w:rPr>
          <w:bCs/>
          <w:lang w:eastAsia="ru-RU"/>
        </w:rPr>
      </w:pPr>
      <w:r w:rsidRPr="00826F6D">
        <w:rPr>
          <w:bCs/>
          <w:lang w:val="en-GB" w:eastAsia="ru-RU"/>
        </w:rPr>
        <w:t>6</w:t>
      </w:r>
      <w:r w:rsidRPr="00826F6D">
        <w:rPr>
          <w:bCs/>
          <w:lang w:eastAsia="ru-RU"/>
        </w:rPr>
        <w:t>.1. Užsakovas turi teisę:</w:t>
      </w:r>
    </w:p>
    <w:p w14:paraId="7AD28549" w14:textId="56C791AF" w:rsidR="00EA49E2" w:rsidRPr="00826F6D" w:rsidRDefault="00EA49E2" w:rsidP="00EA49E2">
      <w:pPr>
        <w:spacing w:after="0" w:line="240" w:lineRule="auto"/>
        <w:ind w:firstLine="720"/>
        <w:jc w:val="both"/>
        <w:rPr>
          <w:lang w:eastAsia="ru-RU"/>
        </w:rPr>
      </w:pPr>
      <w:r w:rsidRPr="00826F6D">
        <w:rPr>
          <w:lang w:eastAsia="ru-RU"/>
        </w:rPr>
        <w:t xml:space="preserve">6.1.1. kontroliuoti ir prižiūrėti, ar atliekamų Darbų atlikimo eiga, kiekis, įkainis, medžiagų kokybė atitinka </w:t>
      </w:r>
      <w:r w:rsidR="00370A70">
        <w:rPr>
          <w:lang w:eastAsia="ru-RU"/>
        </w:rPr>
        <w:t>nustatytus reikalavimus.</w:t>
      </w:r>
    </w:p>
    <w:p w14:paraId="79503AD3" w14:textId="1FE4BE93" w:rsidR="00EA49E2" w:rsidRPr="00826F6D" w:rsidRDefault="00EA49E2" w:rsidP="00EA49E2">
      <w:pPr>
        <w:spacing w:after="0" w:line="240" w:lineRule="auto"/>
        <w:ind w:firstLine="720"/>
        <w:jc w:val="both"/>
        <w:rPr>
          <w:lang w:eastAsia="ru-RU"/>
        </w:rPr>
      </w:pPr>
      <w:r w:rsidRPr="00826F6D">
        <w:rPr>
          <w:lang w:eastAsia="ru-RU"/>
        </w:rPr>
        <w:t xml:space="preserve">6.1.2. reikalauti, kad Rangovas Darbus </w:t>
      </w:r>
      <w:r w:rsidR="00370A70">
        <w:rPr>
          <w:lang w:eastAsia="ru-RU"/>
        </w:rPr>
        <w:t>vykdytų</w:t>
      </w:r>
      <w:r w:rsidRPr="00826F6D">
        <w:rPr>
          <w:lang w:eastAsia="ru-RU"/>
        </w:rPr>
        <w:t xml:space="preserve"> laikydamasis normatyvinių statybos dokumentų reikalavimų. Jeigu Rangovas nesilaiko normatyvinių statybos dokumentų reikalavimų ir (ar) Rangovo prisiimtų įsipareigojimų, Užsakovas turi teisę raštu reikalauti šalinti defektus, nepriimti nekokybiškai atliktų Darbų ir nemokėti už netinkamai atliktus Darbus iki nustatytų statybos Darbų defektų pašalinimo arba pašalinti trūkumus trečiųjų asmenų pagalba Rangovo sąskaita;</w:t>
      </w:r>
    </w:p>
    <w:p w14:paraId="15EDB3DB" w14:textId="420E7E38" w:rsidR="00EA49E2" w:rsidRPr="00826F6D" w:rsidRDefault="00EA49E2" w:rsidP="00EA49E2">
      <w:pPr>
        <w:spacing w:after="0" w:line="240" w:lineRule="auto"/>
        <w:ind w:firstLine="720"/>
        <w:jc w:val="both"/>
        <w:rPr>
          <w:lang w:eastAsia="ru-RU"/>
        </w:rPr>
      </w:pPr>
      <w:r w:rsidRPr="00826F6D">
        <w:rPr>
          <w:lang w:eastAsia="ru-RU"/>
        </w:rPr>
        <w:t xml:space="preserve">6.1.3. duoti nurodymus Rangovui ir reikalauti jų vykdymo, jei statybos eigoje </w:t>
      </w:r>
      <w:r w:rsidR="00AE3CB9">
        <w:rPr>
          <w:lang w:eastAsia="ru-RU"/>
        </w:rPr>
        <w:t>nustatomi</w:t>
      </w:r>
      <w:r w:rsidRPr="00826F6D">
        <w:rPr>
          <w:lang w:eastAsia="ru-RU"/>
        </w:rPr>
        <w:t xml:space="preserve"> Sutartyje nurodyti kokybės reikalavim</w:t>
      </w:r>
      <w:r w:rsidR="00AE3CB9">
        <w:rPr>
          <w:lang w:eastAsia="ru-RU"/>
        </w:rPr>
        <w:t>ų pažeidimai</w:t>
      </w:r>
      <w:r w:rsidRPr="00826F6D">
        <w:rPr>
          <w:lang w:eastAsia="ru-RU"/>
        </w:rPr>
        <w:t>;</w:t>
      </w:r>
    </w:p>
    <w:p w14:paraId="5B198E22" w14:textId="77777777" w:rsidR="00EA49E2" w:rsidRPr="00826F6D" w:rsidRDefault="00EA49E2" w:rsidP="00EA49E2">
      <w:pPr>
        <w:spacing w:after="0" w:line="240" w:lineRule="auto"/>
        <w:ind w:firstLine="720"/>
        <w:jc w:val="both"/>
        <w:rPr>
          <w:lang w:eastAsia="ru-RU"/>
        </w:rPr>
      </w:pPr>
      <w:r w:rsidRPr="00826F6D">
        <w:rPr>
          <w:lang w:eastAsia="ru-RU"/>
        </w:rPr>
        <w:t>6.1.4. reikalauti, kad Rangovas savo sąskaita pašalintų Darbų defektus, atsiradusius per garantinį laikotarpį.</w:t>
      </w:r>
    </w:p>
    <w:p w14:paraId="7E6E8351" w14:textId="77777777" w:rsidR="00EA49E2" w:rsidRPr="007F1DEA" w:rsidRDefault="00EA49E2" w:rsidP="00EA49E2">
      <w:pPr>
        <w:spacing w:after="0" w:line="240" w:lineRule="auto"/>
        <w:ind w:firstLine="720"/>
        <w:jc w:val="both"/>
        <w:rPr>
          <w:bCs/>
          <w:lang w:eastAsia="ru-RU"/>
        </w:rPr>
      </w:pPr>
      <w:r w:rsidRPr="007F1DEA">
        <w:rPr>
          <w:bCs/>
          <w:lang w:eastAsia="ru-RU"/>
        </w:rPr>
        <w:t>6.2. Užsakovas įsipareigoja:</w:t>
      </w:r>
    </w:p>
    <w:p w14:paraId="70B0B9E0" w14:textId="77777777" w:rsidR="00EA49E2" w:rsidRPr="007F1DEA" w:rsidRDefault="00EA49E2" w:rsidP="00EA49E2">
      <w:pPr>
        <w:spacing w:after="0" w:line="240" w:lineRule="auto"/>
        <w:ind w:firstLine="720"/>
        <w:jc w:val="both"/>
        <w:rPr>
          <w:lang w:eastAsia="ru-RU"/>
        </w:rPr>
      </w:pPr>
      <w:r w:rsidRPr="007F1DEA">
        <w:rPr>
          <w:lang w:eastAsia="ru-RU"/>
        </w:rPr>
        <w:t xml:space="preserve">6.2.1. </w:t>
      </w:r>
      <w:r w:rsidR="00B76503" w:rsidRPr="007F1DEA">
        <w:rPr>
          <w:lang w:eastAsia="ru-RU"/>
        </w:rPr>
        <w:t>n</w:t>
      </w:r>
      <w:r w:rsidR="000A05C4" w:rsidRPr="007F1DEA">
        <w:rPr>
          <w:lang w:eastAsia="ru-RU"/>
        </w:rPr>
        <w:t>e vėliau kaip per 5 (penkias) darbo dienas nuo Sutarties įsigaliojimo dienos perduoti Rangovui patalpas (statybvietę) Sutartyje numatytiems darbams atlikti</w:t>
      </w:r>
      <w:r w:rsidR="00B76503" w:rsidRPr="007F1DEA">
        <w:rPr>
          <w:lang w:eastAsia="ru-RU"/>
        </w:rPr>
        <w:t xml:space="preserve">, pasirašant </w:t>
      </w:r>
      <w:r w:rsidR="00826F6D" w:rsidRPr="007F1DEA">
        <w:rPr>
          <w:lang w:eastAsia="ru-RU"/>
        </w:rPr>
        <w:t>statybvietės</w:t>
      </w:r>
      <w:r w:rsidR="00B76503" w:rsidRPr="007F1DEA">
        <w:rPr>
          <w:lang w:eastAsia="ru-RU"/>
        </w:rPr>
        <w:t xml:space="preserve"> perdavimo–priėmimo aktą;</w:t>
      </w:r>
    </w:p>
    <w:p w14:paraId="46D7C587" w14:textId="77777777" w:rsidR="00EA49E2" w:rsidRPr="007F1DEA" w:rsidRDefault="00EA49E2" w:rsidP="00EA49E2">
      <w:pPr>
        <w:spacing w:after="0" w:line="240" w:lineRule="auto"/>
        <w:ind w:firstLine="720"/>
        <w:jc w:val="both"/>
        <w:rPr>
          <w:lang w:eastAsia="ru-RU"/>
        </w:rPr>
      </w:pPr>
      <w:r w:rsidRPr="007F1DEA">
        <w:rPr>
          <w:lang w:eastAsia="ru-RU"/>
        </w:rPr>
        <w:t>6.2.2. pateikti statybos Darbams vykdyti reikalingus dokumentus, kuriuos pagal įstatymus ar kitus teisės aktus Užsakovas privalo pateikti Rangovui</w:t>
      </w:r>
      <w:r w:rsidR="00B76503" w:rsidRPr="007F1DEA">
        <w:rPr>
          <w:lang w:eastAsia="ru-RU"/>
        </w:rPr>
        <w:t>;</w:t>
      </w:r>
    </w:p>
    <w:p w14:paraId="5EC1AF52" w14:textId="77777777" w:rsidR="000A05C4" w:rsidRPr="007F1DEA" w:rsidRDefault="000A05C4" w:rsidP="000A05C4">
      <w:pPr>
        <w:spacing w:after="0" w:line="240" w:lineRule="auto"/>
        <w:ind w:firstLine="720"/>
        <w:jc w:val="both"/>
        <w:rPr>
          <w:lang w:eastAsia="ru-RU"/>
        </w:rPr>
      </w:pPr>
      <w:r w:rsidRPr="007F1DEA">
        <w:rPr>
          <w:lang w:eastAsia="ru-RU"/>
        </w:rPr>
        <w:lastRenderedPageBreak/>
        <w:t xml:space="preserve">6.2.3. </w:t>
      </w:r>
      <w:r w:rsidR="00B76503" w:rsidRPr="007F1DEA">
        <w:rPr>
          <w:lang w:eastAsia="ru-RU"/>
        </w:rPr>
        <w:t>u</w:t>
      </w:r>
      <w:r w:rsidRPr="007F1DEA">
        <w:rPr>
          <w:lang w:eastAsia="ru-RU"/>
        </w:rPr>
        <w:t>žtikrinti, kad Rangovas per visą Sutarties laikotarpį galėtų patekti į Darbų atlikimo patalpas</w:t>
      </w:r>
      <w:r w:rsidR="00B76503" w:rsidRPr="007F1DEA">
        <w:rPr>
          <w:lang w:eastAsia="ru-RU"/>
        </w:rPr>
        <w:t>;</w:t>
      </w:r>
    </w:p>
    <w:p w14:paraId="476FD07A" w14:textId="77777777" w:rsidR="000A05C4" w:rsidRPr="007F1DEA" w:rsidRDefault="000A05C4" w:rsidP="000A05C4">
      <w:pPr>
        <w:spacing w:after="0" w:line="240" w:lineRule="auto"/>
        <w:ind w:firstLine="720"/>
        <w:jc w:val="both"/>
        <w:rPr>
          <w:highlight w:val="cyan"/>
          <w:lang w:eastAsia="ru-RU"/>
        </w:rPr>
      </w:pPr>
      <w:r w:rsidRPr="007F1DEA">
        <w:rPr>
          <w:lang w:eastAsia="ru-RU"/>
        </w:rPr>
        <w:t xml:space="preserve">6.2.4. </w:t>
      </w:r>
      <w:r w:rsidR="007F1DEA" w:rsidRPr="007F1DEA">
        <w:rPr>
          <w:lang w:eastAsia="ru-RU"/>
        </w:rPr>
        <w:t xml:space="preserve">Per visą Darbų atlikimo laikotarpį sudaryti galimybę naudotis Darbams atlikti reikalinga elektros energija ir vandeniu. </w:t>
      </w:r>
    </w:p>
    <w:p w14:paraId="6A63828F" w14:textId="2BAB4DA5" w:rsidR="00EA49E2" w:rsidRPr="007F1DEA" w:rsidRDefault="000A05C4" w:rsidP="00EA49E2">
      <w:pPr>
        <w:spacing w:after="0" w:line="240" w:lineRule="auto"/>
        <w:ind w:firstLine="720"/>
        <w:jc w:val="both"/>
        <w:rPr>
          <w:lang w:eastAsia="ru-RU"/>
        </w:rPr>
      </w:pPr>
      <w:r w:rsidRPr="007F1DEA">
        <w:rPr>
          <w:lang w:eastAsia="ru-RU"/>
        </w:rPr>
        <w:t>6.2.</w:t>
      </w:r>
      <w:r w:rsidR="00AE3CB9">
        <w:rPr>
          <w:lang w:eastAsia="ru-RU"/>
        </w:rPr>
        <w:t>5</w:t>
      </w:r>
      <w:r w:rsidR="00EA49E2" w:rsidRPr="007F1DEA">
        <w:rPr>
          <w:lang w:eastAsia="ru-RU"/>
        </w:rPr>
        <w:t>. bendradarbiauti su Rangovu vykdant Sutartį;</w:t>
      </w:r>
    </w:p>
    <w:p w14:paraId="0694AAB4" w14:textId="1D17D2ED" w:rsidR="000A05C4" w:rsidRPr="007F1DEA" w:rsidRDefault="000A05C4" w:rsidP="000A05C4">
      <w:pPr>
        <w:spacing w:after="0" w:line="240" w:lineRule="auto"/>
        <w:ind w:firstLine="720"/>
        <w:jc w:val="both"/>
        <w:rPr>
          <w:lang w:eastAsia="ru-RU"/>
        </w:rPr>
      </w:pPr>
      <w:r w:rsidRPr="007F1DEA">
        <w:rPr>
          <w:lang w:eastAsia="ru-RU"/>
        </w:rPr>
        <w:t>6.2.</w:t>
      </w:r>
      <w:r w:rsidR="00AE3CB9">
        <w:rPr>
          <w:lang w:eastAsia="ru-RU"/>
        </w:rPr>
        <w:t>6.</w:t>
      </w:r>
      <w:r w:rsidRPr="007F1DEA">
        <w:rPr>
          <w:lang w:eastAsia="ru-RU"/>
        </w:rPr>
        <w:t xml:space="preserve"> Priimti Rangovo atliktus Darbus ir pasirašyti atliktų Darbų perdavimo - priėmimo aktą per 3 (tris) darbo dienas nuo šio akto gavimo dienos arba per šį laikotarpį pateikti motyvuotą atsisakymą pasirašyti atliktų Darbų perdavimo - priėmimo aktą.</w:t>
      </w:r>
    </w:p>
    <w:p w14:paraId="10656D72" w14:textId="43DBA48B" w:rsidR="00EA49E2" w:rsidRPr="007F1DEA" w:rsidRDefault="000A05C4" w:rsidP="00EA49E2">
      <w:pPr>
        <w:spacing w:after="0" w:line="240" w:lineRule="auto"/>
        <w:ind w:firstLine="720"/>
        <w:jc w:val="both"/>
        <w:rPr>
          <w:lang w:eastAsia="ru-RU"/>
        </w:rPr>
      </w:pPr>
      <w:r w:rsidRPr="007F1DEA">
        <w:rPr>
          <w:lang w:eastAsia="ru-RU"/>
        </w:rPr>
        <w:t>6.2.</w:t>
      </w:r>
      <w:r w:rsidR="00AE3CB9">
        <w:rPr>
          <w:lang w:eastAsia="ru-RU"/>
        </w:rPr>
        <w:t>7</w:t>
      </w:r>
      <w:r w:rsidR="00EA49E2" w:rsidRPr="007F1DEA">
        <w:rPr>
          <w:lang w:eastAsia="ru-RU"/>
        </w:rPr>
        <w:t>. sumokėti Rangovui už tinkamai atliktus bei nustatyta tvarka priimtus Darbus Sutartyje numatytais terminais ir tvarka</w:t>
      </w:r>
      <w:r w:rsidR="00B76503" w:rsidRPr="007F1DEA">
        <w:rPr>
          <w:lang w:eastAsia="ru-RU"/>
        </w:rPr>
        <w:t>.</w:t>
      </w:r>
    </w:p>
    <w:p w14:paraId="1E246EC8" w14:textId="77777777" w:rsidR="00EA49E2" w:rsidRPr="007F1DEA" w:rsidRDefault="00EA49E2" w:rsidP="00EA49E2">
      <w:pPr>
        <w:spacing w:after="0" w:line="240" w:lineRule="auto"/>
        <w:ind w:firstLine="720"/>
        <w:jc w:val="both"/>
        <w:rPr>
          <w:bCs/>
          <w:lang w:eastAsia="ru-RU"/>
        </w:rPr>
      </w:pPr>
      <w:r w:rsidRPr="007F1DEA">
        <w:rPr>
          <w:bCs/>
          <w:lang w:eastAsia="ru-RU"/>
        </w:rPr>
        <w:t>6.3. Rangovas turi teisę:</w:t>
      </w:r>
    </w:p>
    <w:p w14:paraId="76BAA341" w14:textId="77777777" w:rsidR="00EA49E2" w:rsidRPr="007F1DEA" w:rsidRDefault="00EA49E2" w:rsidP="00EA49E2">
      <w:pPr>
        <w:spacing w:after="0" w:line="240" w:lineRule="auto"/>
        <w:ind w:firstLine="720"/>
        <w:jc w:val="both"/>
        <w:rPr>
          <w:lang w:eastAsia="ru-RU"/>
        </w:rPr>
      </w:pPr>
      <w:r w:rsidRPr="007F1DEA">
        <w:rPr>
          <w:lang w:eastAsia="ru-RU"/>
        </w:rPr>
        <w:t xml:space="preserve">6.3.1. naudotis Lietuvos Respublikos statybos įstatymo, statybos techniniuose reglamentuose ir kituose Lietuvos Respublikos įstatymuose numatytomis Rangovo teisėmis; </w:t>
      </w:r>
    </w:p>
    <w:p w14:paraId="7115E215" w14:textId="77777777" w:rsidR="00EA49E2" w:rsidRPr="007F1DEA" w:rsidRDefault="00EA49E2" w:rsidP="00EA49E2">
      <w:pPr>
        <w:spacing w:after="0" w:line="240" w:lineRule="auto"/>
        <w:ind w:firstLine="720"/>
        <w:jc w:val="both"/>
        <w:rPr>
          <w:lang w:eastAsia="ru-RU"/>
        </w:rPr>
      </w:pPr>
      <w:r w:rsidRPr="007F1DEA">
        <w:rPr>
          <w:lang w:eastAsia="ru-RU"/>
        </w:rPr>
        <w:t xml:space="preserve"> 6.3.2. gauti Užsakovo apmokėjimą už įvykdytus Darbus pagal Sutartyje nustatytas sąlygas ir tvarką;</w:t>
      </w:r>
    </w:p>
    <w:p w14:paraId="6F8F2800" w14:textId="77777777" w:rsidR="00EA49E2" w:rsidRPr="007F1DEA" w:rsidRDefault="00EA49E2" w:rsidP="00EA49E2">
      <w:pPr>
        <w:spacing w:after="0" w:line="240" w:lineRule="auto"/>
        <w:ind w:firstLine="720"/>
        <w:jc w:val="both"/>
        <w:rPr>
          <w:lang w:eastAsia="ru-RU"/>
        </w:rPr>
      </w:pPr>
      <w:r w:rsidRPr="007F1DEA">
        <w:rPr>
          <w:lang w:eastAsia="ru-RU"/>
        </w:rPr>
        <w:t>6.3.3. naudotis kitomis teisės aktuose numatytomis Rangovo teisėmis.</w:t>
      </w:r>
    </w:p>
    <w:p w14:paraId="61FE8940" w14:textId="77777777" w:rsidR="00EA49E2" w:rsidRPr="007F1DEA" w:rsidRDefault="00EA49E2" w:rsidP="00EA49E2">
      <w:pPr>
        <w:spacing w:after="0" w:line="240" w:lineRule="auto"/>
        <w:ind w:firstLine="720"/>
        <w:jc w:val="both"/>
        <w:rPr>
          <w:bCs/>
          <w:lang w:eastAsia="ru-RU"/>
        </w:rPr>
      </w:pPr>
      <w:r w:rsidRPr="007F1DEA">
        <w:rPr>
          <w:bCs/>
          <w:lang w:eastAsia="ru-RU"/>
        </w:rPr>
        <w:t>6.4. Rangovas įsipareigoja:</w:t>
      </w:r>
    </w:p>
    <w:p w14:paraId="5BE48C0A" w14:textId="598D5E30" w:rsidR="00EA49E2" w:rsidRPr="007F1DEA" w:rsidRDefault="00EA49E2" w:rsidP="00EA49E2">
      <w:pPr>
        <w:spacing w:after="0" w:line="240" w:lineRule="auto"/>
        <w:ind w:firstLine="720"/>
        <w:jc w:val="both"/>
        <w:rPr>
          <w:lang w:eastAsia="ru-RU"/>
        </w:rPr>
      </w:pPr>
      <w:r w:rsidRPr="007F1DEA">
        <w:rPr>
          <w:lang w:eastAsia="ru-RU"/>
        </w:rPr>
        <w:t>6.4.</w:t>
      </w:r>
      <w:r w:rsidR="00F9351D">
        <w:rPr>
          <w:lang w:eastAsia="ru-RU"/>
        </w:rPr>
        <w:t>1</w:t>
      </w:r>
      <w:r w:rsidRPr="007F1DEA">
        <w:rPr>
          <w:lang w:eastAsia="ru-RU"/>
        </w:rPr>
        <w:t>. tuo atveju, jeigu nėra galimybės atlikti Sutartyje numatytų Darbų pagal nustatytus Darbų atlikimo terminus, raštiškai apie tai informuoti Užsakovą, nurodant konkrečias priežastis bei Darbų atlikimo terminų pažeidimo pašalinimo priemones;</w:t>
      </w:r>
    </w:p>
    <w:p w14:paraId="6A868484" w14:textId="75A96797" w:rsidR="00EA49E2" w:rsidRPr="007F1DEA"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A907C7">
        <w:rPr>
          <w:lang w:eastAsia="ru-RU"/>
        </w:rPr>
        <w:t>2</w:t>
      </w:r>
      <w:r w:rsidR="00EA49E2" w:rsidRPr="007F1DEA">
        <w:rPr>
          <w:lang w:eastAsia="ru-RU"/>
        </w:rPr>
        <w:t>. vykdyti statybos Darbus pagal statybos techninių reglamentų ir kitų teisės aktų, reglamentuojančių statybos veiklą (normų, taisyklių) reikalavimus. Garantuoti, kad Darbų priėmimo metu jie atitiks projekte nustatytas savybes, normatyvinių dokumentų reikalavimus, bus atlikti be klaidų, kurios panaikintų arba sumažintų jų vertę arba tinkamumą projekte numatytam panaudojimui;</w:t>
      </w:r>
    </w:p>
    <w:p w14:paraId="42E55A65" w14:textId="0E469DF0" w:rsidR="00EA49E2"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A907C7">
        <w:rPr>
          <w:lang w:eastAsia="ru-RU"/>
        </w:rPr>
        <w:t>3</w:t>
      </w:r>
      <w:r w:rsidR="00EA49E2" w:rsidRPr="007F1DEA">
        <w:rPr>
          <w:lang w:eastAsia="ru-RU"/>
        </w:rPr>
        <w:t xml:space="preserve">. savarankiškai apsirūpinti materialiniais ištekliais, reikalingais Sutartyje numatytiems Darbams atlikti, Darbų vykdymui naudoti produktus, medžiagas, gaminius, atitinkančius projektinėje dokumentacijoje jiems nustatytus reikalavimus, naudoti Lietuvos Respublikos įstatymais ir kitais teisės aktais nustatyta tvarka Lietuvos Respublikos rinkai tiekiamus statybos produktus, kitus gaminius, garantuoti tinkamą statybos produktų ir kitų gaminių priėmimą, organizuoti jų sandėliavimą, apsaugą (nuo vagystės bei sugadinimo, įskaitant meteorologinių sąlygų poveikį) ir taupų naudojimą. Garantuoti tinkamą statybos produktų, įrenginių ir kitų gaminių priėmimą, tikrinti jų atitikties dokumentuose deklaruojamų savybių atitiktį projektiniams sprendiniams ir teikti juos </w:t>
      </w:r>
      <w:r w:rsidR="000A05C4" w:rsidRPr="007F1DEA">
        <w:rPr>
          <w:lang w:eastAsia="ru-RU"/>
        </w:rPr>
        <w:t>užsakovui</w:t>
      </w:r>
      <w:r w:rsidR="00EA49E2" w:rsidRPr="007F1DEA">
        <w:rPr>
          <w:lang w:eastAsia="ru-RU"/>
        </w:rPr>
        <w:t>, organizuoti jų sandėliavimą bei apsaugą;</w:t>
      </w:r>
    </w:p>
    <w:p w14:paraId="6ACD5974" w14:textId="32447195" w:rsidR="00D427AA" w:rsidRPr="007F1DEA" w:rsidRDefault="00D427AA" w:rsidP="00EA49E2">
      <w:pPr>
        <w:spacing w:after="0" w:line="240" w:lineRule="auto"/>
        <w:ind w:firstLine="720"/>
        <w:jc w:val="both"/>
        <w:rPr>
          <w:lang w:eastAsia="ru-RU"/>
        </w:rPr>
      </w:pPr>
      <w:r>
        <w:rPr>
          <w:lang w:eastAsia="ru-RU"/>
        </w:rPr>
        <w:t>6.4.</w:t>
      </w:r>
      <w:r w:rsidR="00A907C7">
        <w:rPr>
          <w:lang w:eastAsia="ru-RU"/>
        </w:rPr>
        <w:t>4</w:t>
      </w:r>
      <w:r>
        <w:rPr>
          <w:lang w:eastAsia="ru-RU"/>
        </w:rPr>
        <w:t>. visas apdailos medžiagas ir naujai montuojama įrangą prieš užsakant derinti su Užsakovu.</w:t>
      </w:r>
    </w:p>
    <w:p w14:paraId="18428B39" w14:textId="7C1C216B" w:rsidR="00EA49E2" w:rsidRPr="007F1DEA"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A907C7">
        <w:rPr>
          <w:lang w:eastAsia="ru-RU"/>
        </w:rPr>
        <w:t>5</w:t>
      </w:r>
      <w:r w:rsidR="00EA49E2" w:rsidRPr="007F1DEA">
        <w:rPr>
          <w:lang w:eastAsia="ru-RU"/>
        </w:rPr>
        <w:t>. laiku ir tinkamai informuoti Užsakov</w:t>
      </w:r>
      <w:r w:rsidR="000A05C4" w:rsidRPr="007F1DEA">
        <w:rPr>
          <w:lang w:eastAsia="ru-RU"/>
        </w:rPr>
        <w:t>ą</w:t>
      </w:r>
      <w:r w:rsidR="00EA49E2" w:rsidRPr="007F1DEA">
        <w:rPr>
          <w:lang w:eastAsia="ru-RU"/>
        </w:rPr>
        <w:t xml:space="preserve"> apie atliktus Darbus bei apie atliktų Darbų priėmimo – perdavimo datą</w:t>
      </w:r>
      <w:r w:rsidR="000A05C4" w:rsidRPr="007F1DEA">
        <w:rPr>
          <w:lang w:eastAsia="ru-RU"/>
        </w:rPr>
        <w:t xml:space="preserve">. </w:t>
      </w:r>
    </w:p>
    <w:p w14:paraId="4BE3CAAB" w14:textId="1B3683B3" w:rsidR="00EA49E2" w:rsidRPr="007F1DEA"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A907C7">
        <w:rPr>
          <w:lang w:eastAsia="ru-RU"/>
        </w:rPr>
        <w:t>6</w:t>
      </w:r>
      <w:r w:rsidR="00EA49E2" w:rsidRPr="007F1DEA">
        <w:rPr>
          <w:lang w:eastAsia="ru-RU"/>
        </w:rPr>
        <w:t>. sudaryti sąlygas Užsakovo atstovams lankytis Darbų objekte bei susipažinti su visa Darbų dokumentacija;</w:t>
      </w:r>
    </w:p>
    <w:p w14:paraId="7CE2EE77" w14:textId="344D5CB6" w:rsidR="00EA49E2" w:rsidRPr="007F1DEA"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A907C7">
        <w:rPr>
          <w:lang w:eastAsia="ru-RU"/>
        </w:rPr>
        <w:t>7</w:t>
      </w:r>
      <w:r w:rsidR="00EA49E2" w:rsidRPr="007F1DEA">
        <w:rPr>
          <w:lang w:eastAsia="ru-RU"/>
        </w:rPr>
        <w:t>. garantuoti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w:t>
      </w:r>
    </w:p>
    <w:p w14:paraId="28E33E19" w14:textId="3DB7B6CF" w:rsidR="00EA49E2" w:rsidRPr="007F1DEA"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A907C7">
        <w:rPr>
          <w:lang w:eastAsia="ru-RU"/>
        </w:rPr>
        <w:t>8</w:t>
      </w:r>
      <w:r w:rsidR="00EA49E2" w:rsidRPr="007F1DEA">
        <w:rPr>
          <w:lang w:eastAsia="ru-RU"/>
        </w:rPr>
        <w:t>. saugoti atliktus Darbus ir reikmenis nuo sugadinimo ir vagystės, nuo meteorologinių sąlygų poveikio iki galutinio objekto perdavimo Užsakovui dienos. Pastat</w:t>
      </w:r>
      <w:r w:rsidR="000A05C4" w:rsidRPr="007F1DEA">
        <w:rPr>
          <w:lang w:eastAsia="ru-RU"/>
        </w:rPr>
        <w:t>e</w:t>
      </w:r>
      <w:r w:rsidR="00EA49E2" w:rsidRPr="007F1DEA">
        <w:rPr>
          <w:lang w:eastAsia="ru-RU"/>
        </w:rPr>
        <w:t xml:space="preserve"> ar j</w:t>
      </w:r>
      <w:r w:rsidR="000A05C4" w:rsidRPr="007F1DEA">
        <w:rPr>
          <w:lang w:eastAsia="ru-RU"/>
        </w:rPr>
        <w:t>o</w:t>
      </w:r>
      <w:r w:rsidR="00EA49E2" w:rsidRPr="007F1DEA">
        <w:rPr>
          <w:lang w:eastAsia="ru-RU"/>
        </w:rPr>
        <w:t xml:space="preserve"> dalyje, kur atliekami Darbai, atsitiktinio žuvimo ar sugadinimo rizika tenka Rangovui iki Darbų užbaigimo pabaigos ir Darbų perdavimo-priėmimo aktų pasirašymo;</w:t>
      </w:r>
    </w:p>
    <w:p w14:paraId="30D20A18" w14:textId="5B27B7A9" w:rsidR="00EA49E2" w:rsidRPr="007F1DEA" w:rsidRDefault="002311CA" w:rsidP="00EA49E2">
      <w:pPr>
        <w:spacing w:after="0" w:line="240" w:lineRule="auto"/>
        <w:ind w:firstLine="720"/>
        <w:jc w:val="both"/>
        <w:rPr>
          <w:lang w:eastAsia="ru-RU"/>
        </w:rPr>
      </w:pPr>
      <w:r w:rsidRPr="007F1DEA">
        <w:rPr>
          <w:lang w:eastAsia="ru-RU"/>
        </w:rPr>
        <w:lastRenderedPageBreak/>
        <w:t>6</w:t>
      </w:r>
      <w:r w:rsidR="00EA49E2" w:rsidRPr="007F1DEA">
        <w:rPr>
          <w:lang w:eastAsia="ru-RU"/>
        </w:rPr>
        <w:t>.4.</w:t>
      </w:r>
      <w:r w:rsidR="00A907C7">
        <w:rPr>
          <w:lang w:eastAsia="ru-RU"/>
        </w:rPr>
        <w:t>9</w:t>
      </w:r>
      <w:r w:rsidR="00EA49E2" w:rsidRPr="007F1DEA">
        <w:rPr>
          <w:lang w:eastAsia="ru-RU"/>
        </w:rPr>
        <w:t xml:space="preserve">. savo sąskaita ištaisyti Darbus, kurie dėl Rangovo kaltės yra netinkamai įvykdyti ir neatitinkantys </w:t>
      </w:r>
      <w:r w:rsidR="000A05C4" w:rsidRPr="007F1DEA">
        <w:rPr>
          <w:lang w:eastAsia="ru-RU"/>
        </w:rPr>
        <w:t>Sutarties</w:t>
      </w:r>
      <w:r w:rsidR="00EA49E2" w:rsidRPr="007F1DEA">
        <w:rPr>
          <w:lang w:eastAsia="ru-RU"/>
        </w:rPr>
        <w:t xml:space="preserve"> sąlygų</w:t>
      </w:r>
      <w:r w:rsidR="00D427AA">
        <w:rPr>
          <w:lang w:eastAsia="ru-RU"/>
        </w:rPr>
        <w:t>.</w:t>
      </w:r>
      <w:r w:rsidR="00EA49E2" w:rsidRPr="007F1DEA">
        <w:rPr>
          <w:lang w:eastAsia="ru-RU"/>
        </w:rPr>
        <w:t>. Taip pat savo sąskaita ištaisyti atliktų Darbų trūkumus ir defektus, išaiškėjusius ar ats</w:t>
      </w:r>
      <w:r w:rsidR="000A05C4" w:rsidRPr="007F1DEA">
        <w:rPr>
          <w:lang w:eastAsia="ru-RU"/>
        </w:rPr>
        <w:t>iradusius pasibaigus  S</w:t>
      </w:r>
      <w:r w:rsidR="00EA49E2" w:rsidRPr="007F1DEA">
        <w:rPr>
          <w:lang w:eastAsia="ru-RU"/>
        </w:rPr>
        <w:t>utarties vykdymo laikui, bet tebegaliojant statinio garantiniam laikotarpiui, Užsakovui pateikus raštišką pretenziją, per protingą terminą, suderintą su Užsakovu, jeigu dėl defekto pobūdžio jie neturi būti pašalinti anksčiau;</w:t>
      </w:r>
    </w:p>
    <w:p w14:paraId="04D9F95D" w14:textId="1210DEC5" w:rsidR="00B42E4A" w:rsidRDefault="002311CA" w:rsidP="007F1DEA">
      <w:pPr>
        <w:spacing w:after="0" w:line="240" w:lineRule="auto"/>
        <w:ind w:firstLine="720"/>
        <w:jc w:val="both"/>
        <w:rPr>
          <w:highlight w:val="cyan"/>
          <w:lang w:eastAsia="ru-RU"/>
        </w:rPr>
      </w:pPr>
      <w:r w:rsidRPr="007F1DEA">
        <w:rPr>
          <w:lang w:eastAsia="ru-RU"/>
        </w:rPr>
        <w:t>6</w:t>
      </w:r>
      <w:r w:rsidR="00EA49E2" w:rsidRPr="007F1DEA">
        <w:rPr>
          <w:lang w:eastAsia="ru-RU"/>
        </w:rPr>
        <w:t>.4.1</w:t>
      </w:r>
      <w:r w:rsidR="00A907C7">
        <w:rPr>
          <w:lang w:eastAsia="ru-RU"/>
        </w:rPr>
        <w:t>0</w:t>
      </w:r>
      <w:r w:rsidR="00EA49E2" w:rsidRPr="007F1DEA">
        <w:rPr>
          <w:lang w:eastAsia="ru-RU"/>
        </w:rPr>
        <w:t>. atlikti Darbus tvarkingai, neteršiant teritorijos, kompaktiškai</w:t>
      </w:r>
      <w:r w:rsidR="000A05C4" w:rsidRPr="007F1DEA">
        <w:rPr>
          <w:lang w:eastAsia="ru-RU"/>
        </w:rPr>
        <w:t xml:space="preserve"> kaupti ir</w:t>
      </w:r>
      <w:r w:rsidR="00EA49E2" w:rsidRPr="007F1DEA">
        <w:rPr>
          <w:lang w:eastAsia="ru-RU"/>
        </w:rPr>
        <w:t xml:space="preserve"> laikyti statybos atliekas</w:t>
      </w:r>
      <w:r w:rsidR="000A05C4" w:rsidRPr="007F1DEA">
        <w:rPr>
          <w:lang w:eastAsia="ru-RU"/>
        </w:rPr>
        <w:t>, jas rūšiuoti</w:t>
      </w:r>
      <w:r w:rsidR="006A4A20">
        <w:rPr>
          <w:lang w:eastAsia="ru-RU"/>
        </w:rPr>
        <w:t xml:space="preserve"> </w:t>
      </w:r>
      <w:r w:rsidR="000A05C4" w:rsidRPr="007F1DEA">
        <w:rPr>
          <w:lang w:eastAsia="ru-RU"/>
        </w:rPr>
        <w:t>ir</w:t>
      </w:r>
      <w:r w:rsidR="00EA49E2" w:rsidRPr="007F1DEA">
        <w:rPr>
          <w:lang w:eastAsia="ru-RU"/>
        </w:rPr>
        <w:t xml:space="preserve"> išvežus iš teritorijos pateikti Užsakovui patvirtinančius dokumentus apie statybinio laužo, grunto išvežimą į </w:t>
      </w:r>
      <w:r w:rsidR="000A05C4" w:rsidRPr="007F1DEA">
        <w:rPr>
          <w:lang w:eastAsia="ru-RU"/>
        </w:rPr>
        <w:t>utilizavimo</w:t>
      </w:r>
      <w:r w:rsidR="00EA49E2" w:rsidRPr="007F1DEA">
        <w:rPr>
          <w:lang w:eastAsia="ru-RU"/>
        </w:rPr>
        <w:t xml:space="preserve"> vietas;</w:t>
      </w:r>
      <w:r w:rsidR="000A05C4" w:rsidRPr="007F1DEA">
        <w:rPr>
          <w:lang w:eastAsia="ru-RU"/>
        </w:rPr>
        <w:t xml:space="preserve"> Baigus darbus, savo sąskaita išvežti visas statybines atliekas ir šiukšles iš teritorijos per 3 (tris) darbo dienas, bet ne vėliau kaip iki </w:t>
      </w:r>
      <w:r w:rsidR="00F9351D">
        <w:rPr>
          <w:lang w:eastAsia="ru-RU"/>
        </w:rPr>
        <w:t xml:space="preserve">galutinio </w:t>
      </w:r>
      <w:r w:rsidR="000A05C4" w:rsidRPr="007F1DEA">
        <w:rPr>
          <w:lang w:eastAsia="ru-RU"/>
        </w:rPr>
        <w:t>Darbų perdavimo – priėmimo akto pasirašymo dienos.</w:t>
      </w:r>
    </w:p>
    <w:p w14:paraId="39401291" w14:textId="05B43B81" w:rsidR="00EA49E2" w:rsidRPr="007F1DEA"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190ABD" w:rsidRPr="007F1DEA">
        <w:rPr>
          <w:lang w:eastAsia="ru-RU"/>
        </w:rPr>
        <w:t>1</w:t>
      </w:r>
      <w:r w:rsidR="00A907C7">
        <w:rPr>
          <w:lang w:eastAsia="ru-RU"/>
        </w:rPr>
        <w:t>1</w:t>
      </w:r>
      <w:r w:rsidR="00EA49E2" w:rsidRPr="007F1DEA">
        <w:rPr>
          <w:lang w:eastAsia="ru-RU"/>
        </w:rPr>
        <w:t xml:space="preserve">. užtikrinti, kad į </w:t>
      </w:r>
      <w:r w:rsidR="000A05C4" w:rsidRPr="007F1DEA">
        <w:rPr>
          <w:lang w:eastAsia="ru-RU"/>
        </w:rPr>
        <w:t xml:space="preserve">statybvietę ir (ar) </w:t>
      </w:r>
      <w:r w:rsidR="00EA49E2" w:rsidRPr="007F1DEA">
        <w:rPr>
          <w:lang w:eastAsia="ru-RU"/>
        </w:rPr>
        <w:t>medžiagų saugojimo vietas nepatektų pašaliniai asmenys;</w:t>
      </w:r>
    </w:p>
    <w:p w14:paraId="6A151DD7" w14:textId="4690AFAE" w:rsidR="00EA49E2" w:rsidRPr="007F1DEA"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190ABD" w:rsidRPr="007F1DEA">
        <w:rPr>
          <w:lang w:eastAsia="ru-RU"/>
        </w:rPr>
        <w:t>1</w:t>
      </w:r>
      <w:r w:rsidR="00A907C7">
        <w:rPr>
          <w:lang w:eastAsia="ru-RU"/>
        </w:rPr>
        <w:t>2</w:t>
      </w:r>
      <w:r w:rsidR="00EA49E2" w:rsidRPr="007F1DEA">
        <w:rPr>
          <w:lang w:eastAsia="ru-RU"/>
        </w:rPr>
        <w:t>. atlikus Darbus sutvarkyti tvarkomą statinį, statybvietę ir kitas vietas, kurie buvo perduoti Rangovui sutartiniu laikotarpiu</w:t>
      </w:r>
      <w:r w:rsidR="000A05C4" w:rsidRPr="007F1DEA">
        <w:rPr>
          <w:lang w:eastAsia="ru-RU"/>
        </w:rPr>
        <w:t xml:space="preserve"> (bet kokiu atveju ne blogiau negu buvo prieš pradedant Darbus)</w:t>
      </w:r>
      <w:r w:rsidR="00EA49E2" w:rsidRPr="007F1DEA">
        <w:rPr>
          <w:lang w:eastAsia="ru-RU"/>
        </w:rPr>
        <w:t xml:space="preserve">. </w:t>
      </w:r>
    </w:p>
    <w:p w14:paraId="4726A0CA" w14:textId="0C1E6284" w:rsidR="00EA49E2" w:rsidRPr="007F1DEA"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E91950" w:rsidRPr="007F1DEA">
        <w:rPr>
          <w:lang w:eastAsia="ru-RU"/>
        </w:rPr>
        <w:t>.1</w:t>
      </w:r>
      <w:r w:rsidR="00A907C7">
        <w:rPr>
          <w:lang w:eastAsia="ru-RU"/>
        </w:rPr>
        <w:t>3</w:t>
      </w:r>
      <w:r w:rsidR="00EA49E2" w:rsidRPr="007F1DEA">
        <w:rPr>
          <w:lang w:eastAsia="ru-RU"/>
        </w:rPr>
        <w:t>. suteikti Darbams Sutartyje nurodytas garantijas;</w:t>
      </w:r>
    </w:p>
    <w:p w14:paraId="2FF33D80" w14:textId="577AF8FA" w:rsidR="00B42E4A" w:rsidRDefault="00E91950" w:rsidP="00B42E4A">
      <w:pPr>
        <w:spacing w:after="0" w:line="240" w:lineRule="auto"/>
        <w:ind w:firstLine="720"/>
        <w:jc w:val="both"/>
        <w:rPr>
          <w:lang w:eastAsia="ru-RU"/>
        </w:rPr>
      </w:pPr>
      <w:r w:rsidRPr="007F1DEA">
        <w:rPr>
          <w:lang w:eastAsia="ru-RU"/>
        </w:rPr>
        <w:t>6.4.1</w:t>
      </w:r>
      <w:r w:rsidR="00A907C7">
        <w:rPr>
          <w:lang w:eastAsia="ru-RU"/>
        </w:rPr>
        <w:t>4</w:t>
      </w:r>
      <w:r w:rsidRPr="007F1DEA">
        <w:rPr>
          <w:lang w:eastAsia="ru-RU"/>
        </w:rPr>
        <w:t xml:space="preserve">. </w:t>
      </w:r>
      <w:r w:rsidR="00F55290" w:rsidRPr="007F1DEA">
        <w:rPr>
          <w:lang w:eastAsia="ru-RU"/>
        </w:rPr>
        <w:t>a</w:t>
      </w:r>
      <w:r w:rsidRPr="007F1DEA">
        <w:rPr>
          <w:lang w:eastAsia="ru-RU"/>
        </w:rPr>
        <w:t>psaugoti Užsakovo turtą nuo nuostolių, apgadinimo ar sunaikinimo, atsiradusių dėl Rangovo veiksmų. Rangovas, vykdydamas Darbus, turi imtis visų būtinų atsargumo priemonių, kad Rangovo įrengimai ir personalas būtų tik remontuojamose patalpose, kurias Užsakovas suteikia Rangovui</w:t>
      </w:r>
      <w:r w:rsidR="00F55290" w:rsidRPr="007F1DEA">
        <w:rPr>
          <w:lang w:eastAsia="ru-RU"/>
        </w:rPr>
        <w:t>;</w:t>
      </w:r>
    </w:p>
    <w:p w14:paraId="218B225B" w14:textId="5E17C1FB" w:rsidR="00E91950" w:rsidRPr="007F1DEA" w:rsidRDefault="00B42E4A" w:rsidP="00B42E4A">
      <w:pPr>
        <w:spacing w:after="0" w:line="240" w:lineRule="auto"/>
        <w:ind w:firstLine="720"/>
        <w:jc w:val="both"/>
        <w:rPr>
          <w:lang w:eastAsia="ru-RU"/>
        </w:rPr>
      </w:pPr>
      <w:r>
        <w:rPr>
          <w:lang w:eastAsia="ru-RU"/>
        </w:rPr>
        <w:t>6.4.</w:t>
      </w:r>
      <w:r w:rsidRPr="00B42E4A">
        <w:rPr>
          <w:lang w:eastAsia="ru-RU"/>
        </w:rPr>
        <w:t>1</w:t>
      </w:r>
      <w:r w:rsidR="00A907C7">
        <w:rPr>
          <w:lang w:eastAsia="ru-RU"/>
        </w:rPr>
        <w:t>5.</w:t>
      </w:r>
      <w:r w:rsidRPr="00B42E4A">
        <w:rPr>
          <w:lang w:eastAsia="ru-RU"/>
        </w:rPr>
        <w:t xml:space="preserve"> apmokėti už Darbų vykdymo metu sunaudotus elektros energiją, vandenį pagal Užsakovo pateiktą sąskaita;</w:t>
      </w:r>
    </w:p>
    <w:p w14:paraId="71B1C224" w14:textId="66B15380" w:rsidR="00EA49E2" w:rsidRPr="007F1DEA" w:rsidRDefault="002311CA" w:rsidP="00EA49E2">
      <w:pPr>
        <w:spacing w:after="0" w:line="240" w:lineRule="auto"/>
        <w:ind w:firstLine="720"/>
        <w:jc w:val="both"/>
        <w:rPr>
          <w:lang w:eastAsia="ru-RU"/>
        </w:rPr>
      </w:pPr>
      <w:r w:rsidRPr="007F1DEA">
        <w:rPr>
          <w:lang w:eastAsia="ru-RU"/>
        </w:rPr>
        <w:t>6</w:t>
      </w:r>
      <w:r w:rsidR="00EA49E2" w:rsidRPr="007F1DEA">
        <w:rPr>
          <w:lang w:eastAsia="ru-RU"/>
        </w:rPr>
        <w:t>.4.</w:t>
      </w:r>
      <w:r w:rsidR="00D427AA">
        <w:rPr>
          <w:lang w:eastAsia="ru-RU"/>
        </w:rPr>
        <w:t>1</w:t>
      </w:r>
      <w:r w:rsidR="00A907C7">
        <w:rPr>
          <w:lang w:eastAsia="ru-RU"/>
        </w:rPr>
        <w:t>6</w:t>
      </w:r>
      <w:r w:rsidR="00EA49E2" w:rsidRPr="007F1DEA">
        <w:rPr>
          <w:lang w:eastAsia="ru-RU"/>
        </w:rPr>
        <w:t>. atsakyti už subrangovų atliktus Darbus ir jų kokybę ar padarytą žalą;</w:t>
      </w:r>
    </w:p>
    <w:p w14:paraId="4B71CB0D" w14:textId="32258EFB" w:rsidR="00E91950" w:rsidRPr="007F1DEA" w:rsidRDefault="00E91950" w:rsidP="00E91950">
      <w:pPr>
        <w:spacing w:after="0" w:line="240" w:lineRule="auto"/>
        <w:ind w:firstLine="720"/>
        <w:jc w:val="both"/>
        <w:rPr>
          <w:lang w:eastAsia="ru-RU"/>
        </w:rPr>
      </w:pPr>
      <w:r w:rsidRPr="007F1DEA">
        <w:rPr>
          <w:lang w:eastAsia="ru-RU"/>
        </w:rPr>
        <w:t>6.4.</w:t>
      </w:r>
      <w:r w:rsidR="00D427AA">
        <w:rPr>
          <w:lang w:eastAsia="ru-RU"/>
        </w:rPr>
        <w:t>1</w:t>
      </w:r>
      <w:r w:rsidR="00A907C7">
        <w:rPr>
          <w:lang w:eastAsia="ru-RU"/>
        </w:rPr>
        <w:t>7</w:t>
      </w:r>
      <w:r w:rsidRPr="007F1DEA">
        <w:rPr>
          <w:lang w:eastAsia="ru-RU"/>
        </w:rPr>
        <w:t>. Rangovui, arba jo subrangovui, sugadinus Užsakovo turtą, Rangovas atlygina sugadinto turto faktinę vertę.</w:t>
      </w:r>
    </w:p>
    <w:p w14:paraId="678781D2" w14:textId="14026E66" w:rsidR="00EA49E2" w:rsidRPr="007F1DEA" w:rsidRDefault="00CE4940" w:rsidP="00EA49E2">
      <w:pPr>
        <w:spacing w:after="0" w:line="240" w:lineRule="auto"/>
        <w:ind w:firstLine="720"/>
        <w:jc w:val="both"/>
        <w:rPr>
          <w:lang w:eastAsia="ru-RU"/>
        </w:rPr>
      </w:pPr>
      <w:r w:rsidRPr="007F1DEA">
        <w:rPr>
          <w:lang w:eastAsia="ru-RU"/>
        </w:rPr>
        <w:t>6</w:t>
      </w:r>
      <w:r w:rsidR="00EA49E2" w:rsidRPr="007F1DEA">
        <w:rPr>
          <w:lang w:eastAsia="ru-RU"/>
        </w:rPr>
        <w:t>.4.</w:t>
      </w:r>
      <w:r w:rsidR="00A907C7">
        <w:rPr>
          <w:lang w:eastAsia="ru-RU"/>
        </w:rPr>
        <w:t>18</w:t>
      </w:r>
      <w:r w:rsidR="00EA49E2" w:rsidRPr="007F1DEA">
        <w:rPr>
          <w:lang w:eastAsia="ru-RU"/>
        </w:rPr>
        <w:t>. vykdyti visus teisėtus ir n</w:t>
      </w:r>
      <w:r w:rsidR="000A05C4" w:rsidRPr="007F1DEA">
        <w:rPr>
          <w:lang w:eastAsia="ru-RU"/>
        </w:rPr>
        <w:t>eprieštaraujančius S</w:t>
      </w:r>
      <w:r w:rsidR="00EA49E2" w:rsidRPr="007F1DEA">
        <w:rPr>
          <w:lang w:eastAsia="ru-RU"/>
        </w:rPr>
        <w:t>utarties nuostatoms raštiškus Užsakovo nurodymus;</w:t>
      </w:r>
    </w:p>
    <w:p w14:paraId="21F8AB27" w14:textId="37BF2154" w:rsidR="00EA49E2" w:rsidRDefault="00C6154E" w:rsidP="000A05C4">
      <w:pPr>
        <w:spacing w:after="0" w:line="240" w:lineRule="auto"/>
        <w:ind w:firstLine="720"/>
        <w:jc w:val="both"/>
        <w:rPr>
          <w:lang w:eastAsia="ru-RU"/>
        </w:rPr>
      </w:pPr>
      <w:r w:rsidRPr="007F1DEA">
        <w:rPr>
          <w:lang w:eastAsia="ru-RU"/>
        </w:rPr>
        <w:t>6.4.</w:t>
      </w:r>
      <w:r w:rsidR="00A907C7">
        <w:rPr>
          <w:lang w:eastAsia="ru-RU"/>
        </w:rPr>
        <w:t>19</w:t>
      </w:r>
      <w:r w:rsidR="00E91950" w:rsidRPr="007F1DEA">
        <w:rPr>
          <w:lang w:eastAsia="ru-RU"/>
        </w:rPr>
        <w:t>.</w:t>
      </w:r>
      <w:r w:rsidRPr="00C6154E">
        <w:rPr>
          <w:lang w:eastAsia="ru-RU"/>
        </w:rPr>
        <w:t>laikytis konfidencialumo įsipareigojimų, neatskleisti tretiesiems asmenims jokios informacijos, gautos vykdant Sutartį, išskyrus tiek, kiek tai reikalinga Sutarties vykdymui, o taip pat nenaudoti konfidencialios informacijos asmeniniams ar trečiųjų asmenų poreikiams. Visa Užsakovo Rangovui suteikta informacija yra laikoma konfidencialia, nebent Užsakovas raštu patvirtins, kad tam tikra pateikta informacija nėra konfidenciali. Konfidencialia taip pat nėra laikoma informacija, kuri buvo viešai prieinama, arba Rangovas gali dokumentais įrodyti, kad informacija jam buvo teisėtai žinoma arba buvo pateikta trečiųjų asmenų, turėjusių raštu patvirtintą teisę atskleisti konfidencialią informaciją;</w:t>
      </w:r>
    </w:p>
    <w:p w14:paraId="0B76D14B" w14:textId="77777777" w:rsidR="00EA49E2" w:rsidRDefault="00EA49E2" w:rsidP="00EA49E2">
      <w:pPr>
        <w:spacing w:after="0" w:line="240" w:lineRule="auto"/>
        <w:ind w:firstLine="720"/>
        <w:jc w:val="both"/>
        <w:rPr>
          <w:lang w:eastAsia="ru-RU"/>
        </w:rPr>
      </w:pPr>
    </w:p>
    <w:p w14:paraId="6847EF7A" w14:textId="77777777" w:rsidR="00E346FC" w:rsidRDefault="00E346FC" w:rsidP="00E346FC">
      <w:pPr>
        <w:spacing w:after="0" w:line="240" w:lineRule="auto"/>
        <w:ind w:firstLine="720"/>
        <w:jc w:val="center"/>
        <w:rPr>
          <w:b/>
        </w:rPr>
      </w:pPr>
      <w:r>
        <w:rPr>
          <w:b/>
          <w:lang w:eastAsia="ru-RU"/>
        </w:rPr>
        <w:t>VI</w:t>
      </w:r>
      <w:r w:rsidR="001B0B2B">
        <w:rPr>
          <w:b/>
          <w:lang w:eastAsia="ru-RU"/>
        </w:rPr>
        <w:t>I</w:t>
      </w:r>
      <w:r w:rsidRPr="00F44071">
        <w:rPr>
          <w:b/>
          <w:lang w:eastAsia="ru-RU"/>
        </w:rPr>
        <w:t xml:space="preserve">. </w:t>
      </w:r>
      <w:r w:rsidRPr="00F44071">
        <w:rPr>
          <w:b/>
        </w:rPr>
        <w:t>ATSAKOMYBĖ UŽ DEFEKTUS, GARANTIJOS</w:t>
      </w:r>
    </w:p>
    <w:p w14:paraId="2ABB153B" w14:textId="77777777" w:rsidR="001B0B2B" w:rsidRPr="00F44071" w:rsidRDefault="001B0B2B" w:rsidP="00E346FC">
      <w:pPr>
        <w:spacing w:after="0" w:line="240" w:lineRule="auto"/>
        <w:ind w:firstLine="720"/>
        <w:jc w:val="center"/>
        <w:rPr>
          <w:b/>
          <w:lang w:eastAsia="ru-RU"/>
        </w:rPr>
      </w:pPr>
    </w:p>
    <w:p w14:paraId="662A4037" w14:textId="77777777" w:rsidR="00E346FC" w:rsidRDefault="001B0B2B" w:rsidP="00E346FC">
      <w:pPr>
        <w:spacing w:after="0" w:line="240" w:lineRule="auto"/>
        <w:ind w:firstLine="720"/>
        <w:jc w:val="both"/>
        <w:rPr>
          <w:lang w:eastAsia="ru-RU"/>
        </w:rPr>
      </w:pPr>
      <w:r>
        <w:rPr>
          <w:lang w:eastAsia="ru-RU"/>
        </w:rPr>
        <w:t>7</w:t>
      </w:r>
      <w:r w:rsidR="00E346FC">
        <w:rPr>
          <w:lang w:eastAsia="ru-RU"/>
        </w:rPr>
        <w:t xml:space="preserve">.1. </w:t>
      </w:r>
      <w:r w:rsidR="00E346FC" w:rsidRPr="00F44071">
        <w:rPr>
          <w:lang w:eastAsia="ru-RU"/>
        </w:rPr>
        <w:t>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w:t>
      </w:r>
      <w:r w:rsidR="00B42E4A">
        <w:rPr>
          <w:lang w:eastAsia="ru-RU"/>
        </w:rPr>
        <w:t>.</w:t>
      </w:r>
    </w:p>
    <w:p w14:paraId="7DEE5844" w14:textId="77777777" w:rsidR="00E346FC" w:rsidRDefault="001B0B2B" w:rsidP="00E346FC">
      <w:pPr>
        <w:spacing w:after="0" w:line="240" w:lineRule="auto"/>
        <w:ind w:firstLine="720"/>
        <w:jc w:val="both"/>
      </w:pPr>
      <w:r>
        <w:t>7</w:t>
      </w:r>
      <w:r w:rsidR="00E346FC">
        <w:t xml:space="preserve">.2. </w:t>
      </w:r>
      <w:r w:rsidR="00E346FC" w:rsidRPr="00187BE7">
        <w:t>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Rangovo įsipareigojimo pagal Sutartį neįvykdymu</w:t>
      </w:r>
      <w:r w:rsidR="00E346FC">
        <w:t>.</w:t>
      </w:r>
    </w:p>
    <w:p w14:paraId="3BBD242F" w14:textId="77777777" w:rsidR="00DF33B9" w:rsidRDefault="00DF33B9" w:rsidP="00E346FC">
      <w:pPr>
        <w:spacing w:after="0" w:line="240" w:lineRule="auto"/>
        <w:ind w:firstLine="720"/>
        <w:jc w:val="both"/>
      </w:pPr>
      <w:r>
        <w:t xml:space="preserve">7.3. </w:t>
      </w:r>
      <w:r w:rsidRPr="00B42E4A">
        <w:t>Atliktų Darbų garantinis terminas pradedamas skaičiuoti nuo</w:t>
      </w:r>
      <w:r w:rsidR="00B42E4A" w:rsidRPr="00B42E4A">
        <w:t xml:space="preserve"> galutinio</w:t>
      </w:r>
      <w:r w:rsidRPr="00B42E4A">
        <w:t xml:space="preserve"> Darbų užbaigimo akto </w:t>
      </w:r>
      <w:r w:rsidR="00B42E4A" w:rsidRPr="00B42E4A">
        <w:t>abiejų Šalių</w:t>
      </w:r>
      <w:r w:rsidRPr="00B42E4A">
        <w:t xml:space="preserve"> pasirašymo dienos. Šis terminas negali būti trumpesnis kaip 5 (penki) </w:t>
      </w:r>
      <w:r w:rsidRPr="00B42E4A">
        <w:lastRenderedPageBreak/>
        <w:t>metai, paslėptų statinio elementų (konstrukcijų, vamzdynų ir kt.) – 10 (dešimt) metų, o jeigu šiuose elementuose buvo nustatyta tyčia paslėptų defektų – 20 metų.</w:t>
      </w:r>
    </w:p>
    <w:p w14:paraId="62220619" w14:textId="77777777" w:rsidR="00E346FC" w:rsidRDefault="00E346FC" w:rsidP="00E346FC">
      <w:pPr>
        <w:spacing w:after="0" w:line="240" w:lineRule="auto"/>
        <w:ind w:firstLine="720"/>
        <w:jc w:val="both"/>
      </w:pPr>
    </w:p>
    <w:p w14:paraId="4E50E3EB" w14:textId="77777777" w:rsidR="00E346FC" w:rsidRDefault="00E346FC" w:rsidP="00E346FC">
      <w:pPr>
        <w:spacing w:after="0" w:line="240" w:lineRule="auto"/>
        <w:ind w:firstLine="720"/>
        <w:jc w:val="center"/>
        <w:rPr>
          <w:b/>
        </w:rPr>
      </w:pPr>
      <w:r w:rsidRPr="00FE631E">
        <w:rPr>
          <w:b/>
        </w:rPr>
        <w:t>VI</w:t>
      </w:r>
      <w:r w:rsidR="001B0B2B">
        <w:rPr>
          <w:b/>
        </w:rPr>
        <w:t>I</w:t>
      </w:r>
      <w:r w:rsidRPr="00FE631E">
        <w:rPr>
          <w:b/>
        </w:rPr>
        <w:t>I. SUBRANGOVAI</w:t>
      </w:r>
    </w:p>
    <w:p w14:paraId="10448B5C" w14:textId="77777777" w:rsidR="001B0B2B" w:rsidRPr="00FE631E" w:rsidRDefault="001B0B2B" w:rsidP="00E346FC">
      <w:pPr>
        <w:spacing w:after="0" w:line="240" w:lineRule="auto"/>
        <w:ind w:firstLine="720"/>
        <w:jc w:val="center"/>
        <w:rPr>
          <w:b/>
        </w:rPr>
      </w:pPr>
    </w:p>
    <w:p w14:paraId="30A30BDC" w14:textId="77777777" w:rsidR="00E346FC" w:rsidRPr="006C19CB" w:rsidRDefault="001B0B2B" w:rsidP="00865879">
      <w:pPr>
        <w:pStyle w:val="Stilius3"/>
        <w:spacing w:before="0"/>
        <w:ind w:firstLine="720"/>
        <w:rPr>
          <w:sz w:val="24"/>
          <w:szCs w:val="24"/>
        </w:rPr>
      </w:pPr>
      <w:r>
        <w:rPr>
          <w:rFonts w:eastAsia="Calibri"/>
          <w:sz w:val="24"/>
          <w:szCs w:val="24"/>
        </w:rPr>
        <w:t>8</w:t>
      </w:r>
      <w:r w:rsidR="00E346FC">
        <w:rPr>
          <w:rFonts w:eastAsia="Calibri"/>
          <w:sz w:val="24"/>
          <w:szCs w:val="24"/>
        </w:rPr>
        <w:t xml:space="preserve">.1. </w:t>
      </w:r>
      <w:r w:rsidR="00E346FC" w:rsidRPr="006C19CB">
        <w:rPr>
          <w:rFonts w:eastAsia="Calibri"/>
          <w:sz w:val="24"/>
          <w:szCs w:val="24"/>
        </w:rPr>
        <w:t>Rangovas įsipareigoja pranešti Užsakovui Subrangovų pavadinimus, kontaktinius duomenis ir jų atstovus</w:t>
      </w:r>
      <w:r w:rsidR="00E346FC" w:rsidRPr="006C19CB">
        <w:rPr>
          <w:sz w:val="24"/>
          <w:szCs w:val="24"/>
        </w:rPr>
        <w:t xml:space="preserve">, taip pat </w:t>
      </w:r>
      <w:r w:rsidR="00E346FC" w:rsidRPr="006C19CB">
        <w:rPr>
          <w:rFonts w:eastAsia="Calibri"/>
          <w:sz w:val="24"/>
          <w:szCs w:val="24"/>
        </w:rPr>
        <w:t xml:space="preserve">įsipareigoja informuoti apie minėtos informacijos pasikeitimus visu Sutarties vykdymo metu, taip pat apie naujus Subrangovus, kuriuos jis ketina pasitelkti vėliau. </w:t>
      </w:r>
      <w:r w:rsidR="00E346FC" w:rsidRPr="006C19CB">
        <w:rPr>
          <w:sz w:val="24"/>
          <w:szCs w:val="24"/>
        </w:rPr>
        <w:t xml:space="preserve">Sutarties vykdymo metu Rangovas gali pakeisti Subrangovus informuodamas Užsakovą. Gavęs tokį pranešimą ir įvertinęs Rangovo siūlymą, Užsakovas, jei sutinka, kartu su Rangovu protokolu įformina susitarimą dėl Subrangovo pakeitimo. </w:t>
      </w:r>
    </w:p>
    <w:p w14:paraId="65A94EB6" w14:textId="77777777" w:rsidR="00865879" w:rsidRDefault="00865879" w:rsidP="00865879">
      <w:pPr>
        <w:pStyle w:val="Stilius3"/>
        <w:spacing w:before="0"/>
        <w:ind w:firstLine="720"/>
        <w:rPr>
          <w:sz w:val="24"/>
          <w:szCs w:val="24"/>
        </w:rPr>
      </w:pPr>
    </w:p>
    <w:p w14:paraId="2B3D908F" w14:textId="77777777" w:rsidR="007B683F" w:rsidRPr="002E529B" w:rsidRDefault="007B683F" w:rsidP="007B683F">
      <w:pPr>
        <w:pStyle w:val="Stilius3"/>
        <w:spacing w:before="0"/>
        <w:ind w:firstLine="720"/>
        <w:jc w:val="center"/>
        <w:rPr>
          <w:b/>
          <w:bCs/>
          <w:sz w:val="24"/>
          <w:szCs w:val="24"/>
        </w:rPr>
      </w:pPr>
      <w:r w:rsidRPr="002E529B">
        <w:rPr>
          <w:b/>
          <w:bCs/>
          <w:sz w:val="24"/>
          <w:szCs w:val="24"/>
        </w:rPr>
        <w:t>IX. SUTARTIES ĮVYKDYMO UŽTIKRINIMO GARANTIJA.</w:t>
      </w:r>
    </w:p>
    <w:p w14:paraId="73DF7BC3" w14:textId="77777777" w:rsidR="007B683F" w:rsidRPr="002E529B" w:rsidRDefault="007B683F" w:rsidP="007B683F">
      <w:pPr>
        <w:pStyle w:val="Stilius3"/>
        <w:spacing w:before="0"/>
        <w:ind w:firstLine="720"/>
        <w:jc w:val="center"/>
        <w:rPr>
          <w:b/>
          <w:bCs/>
          <w:sz w:val="24"/>
          <w:szCs w:val="24"/>
        </w:rPr>
      </w:pPr>
      <w:r w:rsidRPr="002E529B">
        <w:rPr>
          <w:b/>
          <w:bCs/>
          <w:sz w:val="24"/>
          <w:szCs w:val="24"/>
        </w:rPr>
        <w:t>AVANSINIO MOKĖJIMO GRĄŽINIMO UŽTIKRINIMAS</w:t>
      </w:r>
    </w:p>
    <w:p w14:paraId="5F9BE26C" w14:textId="77777777" w:rsidR="007B683F" w:rsidRPr="002E529B" w:rsidRDefault="007B683F" w:rsidP="007B683F">
      <w:pPr>
        <w:pStyle w:val="Stilius3"/>
        <w:spacing w:before="0"/>
        <w:ind w:firstLine="720"/>
        <w:jc w:val="center"/>
        <w:rPr>
          <w:b/>
          <w:bCs/>
          <w:sz w:val="24"/>
          <w:szCs w:val="24"/>
        </w:rPr>
      </w:pPr>
    </w:p>
    <w:p w14:paraId="43E95CBC" w14:textId="6F902C76" w:rsidR="00CF0079" w:rsidRDefault="007B683F" w:rsidP="00A907C7">
      <w:pPr>
        <w:pStyle w:val="Stilius3"/>
        <w:spacing w:before="0"/>
        <w:ind w:firstLine="720"/>
        <w:rPr>
          <w:sz w:val="24"/>
          <w:szCs w:val="24"/>
        </w:rPr>
      </w:pPr>
      <w:r w:rsidRPr="00A907C7">
        <w:rPr>
          <w:sz w:val="24"/>
          <w:szCs w:val="24"/>
        </w:rPr>
        <w:t>9.</w:t>
      </w:r>
      <w:r w:rsidR="00A907C7">
        <w:rPr>
          <w:sz w:val="24"/>
          <w:szCs w:val="24"/>
        </w:rPr>
        <w:t>1</w:t>
      </w:r>
      <w:r w:rsidRPr="00A907C7">
        <w:rPr>
          <w:sz w:val="24"/>
          <w:szCs w:val="24"/>
        </w:rPr>
        <w:t>. Sutarties įvykdym</w:t>
      </w:r>
      <w:r w:rsidR="00A907C7" w:rsidRPr="00A907C7">
        <w:rPr>
          <w:sz w:val="24"/>
          <w:szCs w:val="24"/>
        </w:rPr>
        <w:t>o užtikrinimas nereikalaujamas</w:t>
      </w:r>
    </w:p>
    <w:p w14:paraId="6A976ACA" w14:textId="77777777" w:rsidR="00E346FC" w:rsidRPr="006C19CB" w:rsidRDefault="00E346FC" w:rsidP="00865879">
      <w:pPr>
        <w:pStyle w:val="Stilius3"/>
        <w:spacing w:before="0"/>
        <w:ind w:firstLine="720"/>
        <w:rPr>
          <w:sz w:val="24"/>
          <w:szCs w:val="24"/>
        </w:rPr>
      </w:pPr>
    </w:p>
    <w:p w14:paraId="4DE8C70F" w14:textId="77777777" w:rsidR="005B7D8C" w:rsidRPr="005B7D8C" w:rsidRDefault="00B70816" w:rsidP="005B7D8C">
      <w:pPr>
        <w:spacing w:after="0" w:line="240" w:lineRule="auto"/>
        <w:ind w:firstLine="720"/>
        <w:jc w:val="center"/>
        <w:rPr>
          <w:b/>
        </w:rPr>
      </w:pPr>
      <w:r>
        <w:rPr>
          <w:b/>
        </w:rPr>
        <w:t>X</w:t>
      </w:r>
      <w:r w:rsidR="00E346FC">
        <w:rPr>
          <w:b/>
        </w:rPr>
        <w:t xml:space="preserve">. </w:t>
      </w:r>
      <w:r w:rsidR="005B7D8C" w:rsidRPr="005B7D8C">
        <w:rPr>
          <w:b/>
        </w:rPr>
        <w:t>ŠALIŲ ATSAKOMYBĖ</w:t>
      </w:r>
    </w:p>
    <w:p w14:paraId="76297811" w14:textId="77777777" w:rsidR="005B7D8C" w:rsidRPr="005B7D8C" w:rsidRDefault="005B7D8C" w:rsidP="005B7D8C">
      <w:pPr>
        <w:spacing w:after="0" w:line="240" w:lineRule="auto"/>
        <w:ind w:firstLine="720"/>
        <w:jc w:val="center"/>
        <w:rPr>
          <w:b/>
        </w:rPr>
      </w:pPr>
    </w:p>
    <w:p w14:paraId="2FF01A6A" w14:textId="77777777" w:rsidR="005B7D8C" w:rsidRPr="005B7D8C" w:rsidRDefault="005B7D8C" w:rsidP="005B7D8C">
      <w:pPr>
        <w:spacing w:after="0" w:line="240" w:lineRule="auto"/>
        <w:ind w:firstLine="720"/>
        <w:jc w:val="both"/>
        <w:rPr>
          <w:bCs/>
        </w:rPr>
      </w:pPr>
      <w:r>
        <w:rPr>
          <w:bCs/>
        </w:rPr>
        <w:t>10</w:t>
      </w:r>
      <w:r w:rsidRPr="005B7D8C">
        <w:rPr>
          <w:bCs/>
        </w:rPr>
        <w:t>.1.</w:t>
      </w:r>
      <w:r w:rsidRPr="005B7D8C">
        <w:rPr>
          <w:bCs/>
        </w:rPr>
        <w:tab/>
        <w:t xml:space="preserve"> Už įsipareigojimų, prisiimtų pagal šią Sutartį, nevykdymą arba netinkamą vykdymą Šalys atsako įstatymų nustatyta tvarka, atsižvelgdamos į Sutartyje nustatytus ypatumus.</w:t>
      </w:r>
    </w:p>
    <w:p w14:paraId="29322043" w14:textId="77777777" w:rsidR="005B7D8C" w:rsidRPr="005B7D8C" w:rsidRDefault="005B7D8C" w:rsidP="005B7D8C">
      <w:pPr>
        <w:spacing w:after="0" w:line="240" w:lineRule="auto"/>
        <w:ind w:firstLine="720"/>
        <w:jc w:val="both"/>
        <w:rPr>
          <w:bCs/>
        </w:rPr>
      </w:pPr>
      <w:r>
        <w:rPr>
          <w:bCs/>
        </w:rPr>
        <w:t>10</w:t>
      </w:r>
      <w:r w:rsidRPr="005B7D8C">
        <w:rPr>
          <w:bCs/>
        </w:rPr>
        <w:t>.2.</w:t>
      </w:r>
      <w:r w:rsidRPr="005B7D8C">
        <w:rPr>
          <w:bCs/>
        </w:rPr>
        <w:tab/>
        <w:t xml:space="preserve"> Šalis, negalinti vykdyti Sutartyje bei jos prieduose numatytų įsipareigojimų, privalo nedelsiant, tačiau visais atvejais ne vėliau kaip per 1 (vieną) darbo dieną nuo tokių aplinkybių paaiškėjimo, raštu pranešti apie tai kitai Šaliai, o prireikus ir kitiems suinteresuotiems asmenims.</w:t>
      </w:r>
    </w:p>
    <w:p w14:paraId="030C7652" w14:textId="77777777" w:rsidR="005B7D8C" w:rsidRPr="005B7D8C" w:rsidRDefault="005B7D8C" w:rsidP="005B7D8C">
      <w:pPr>
        <w:spacing w:after="0" w:line="240" w:lineRule="auto"/>
        <w:ind w:firstLine="720"/>
        <w:jc w:val="both"/>
        <w:rPr>
          <w:bCs/>
        </w:rPr>
      </w:pPr>
      <w:r>
        <w:rPr>
          <w:bCs/>
        </w:rPr>
        <w:t>10</w:t>
      </w:r>
      <w:r w:rsidRPr="005B7D8C">
        <w:rPr>
          <w:bCs/>
        </w:rPr>
        <w:t>.3.</w:t>
      </w:r>
      <w:r w:rsidRPr="005B7D8C">
        <w:rPr>
          <w:bCs/>
        </w:rPr>
        <w:tab/>
        <w:t xml:space="preserve"> Rangovas atsako už visus pagal Sutartį prisiimtus įsipareigojimus, nepaisant to, ar jiems vykdyti bus pasitelkiami subrangovai.</w:t>
      </w:r>
    </w:p>
    <w:p w14:paraId="1023E250" w14:textId="77777777" w:rsidR="005B7D8C" w:rsidRPr="005B7D8C" w:rsidRDefault="005B7D8C" w:rsidP="005B7D8C">
      <w:pPr>
        <w:spacing w:after="0" w:line="240" w:lineRule="auto"/>
        <w:ind w:firstLine="720"/>
        <w:jc w:val="both"/>
        <w:rPr>
          <w:bCs/>
        </w:rPr>
      </w:pPr>
      <w:r>
        <w:rPr>
          <w:bCs/>
        </w:rPr>
        <w:t>10</w:t>
      </w:r>
      <w:r w:rsidRPr="005B7D8C">
        <w:rPr>
          <w:bCs/>
        </w:rPr>
        <w:t>.4.</w:t>
      </w:r>
      <w:r w:rsidRPr="005B7D8C">
        <w:rPr>
          <w:bCs/>
        </w:rPr>
        <w:tab/>
        <w:t xml:space="preserve"> Nei viena iš Šalių nėra atsakinga už įsipareigojimų nevykdymą ar netinkamą vykdymą, jeigu juos vykdyti trukdė nenugalimos jėgos </w:t>
      </w:r>
      <w:r w:rsidRPr="00BD1D8D">
        <w:rPr>
          <w:bCs/>
        </w:rPr>
        <w:t>aplinkybės (force majeure).</w:t>
      </w:r>
      <w:r w:rsidRPr="005B7D8C">
        <w:rPr>
          <w:bCs/>
        </w:rPr>
        <w:t xml:space="preserve"> Esant nenugalimos jėgos aplinkybėms, Šalys Lietuvos Respublikos teisės aktuose nustatyta tvarka yra atleidžiamos nuo atsakomybės už Sutartyje numatytų sutartinių įsipareigojimų neįvykdymą, dalinį neįvykdymą arba netinkamą įvykdymą. Tokiu atveju Šalis, dėl nenugalimos jėgos negalinti vykdyti savo įsipareigojimų, privalo nedelsdama pranešti apie tai kitai Šaliai, nurodydama aplinkybes, kurios trukdo jai vykdyti sutartinius įsipareigojimus, ir sutartinius įsipareigojimus, kurių ji negalės vykdyti. Tuomet prievolių vykdymas sustabdomas, kol išnyks minėtos aplinkybės. Jeigu šio pranešimo kita Šalis negauna per 3 darbo dienas po to, kai Sutarties neįvykdžiusi Šalis sužinojo ar turėjo sužinoti apie nenugalimą jėgą lemiančias aplinkybes, tai pastaroji Šalis privalo atlyginti kitai Šaliai dėl negauto pranešimo susidariusius nuostolius.</w:t>
      </w:r>
    </w:p>
    <w:p w14:paraId="4BADC538" w14:textId="77777777" w:rsidR="005B7D8C" w:rsidRPr="005B7D8C" w:rsidRDefault="005B7D8C" w:rsidP="005B7D8C">
      <w:pPr>
        <w:spacing w:after="0" w:line="240" w:lineRule="auto"/>
        <w:ind w:firstLine="720"/>
        <w:jc w:val="both"/>
        <w:rPr>
          <w:bCs/>
        </w:rPr>
      </w:pPr>
      <w:r>
        <w:rPr>
          <w:bCs/>
        </w:rPr>
        <w:t>10</w:t>
      </w:r>
      <w:r w:rsidRPr="005B7D8C">
        <w:rPr>
          <w:bCs/>
        </w:rPr>
        <w:t>.</w:t>
      </w:r>
      <w:r w:rsidR="00044EE4">
        <w:rPr>
          <w:bCs/>
        </w:rPr>
        <w:t>5</w:t>
      </w:r>
      <w:r w:rsidRPr="005B7D8C">
        <w:rPr>
          <w:bCs/>
        </w:rPr>
        <w:t xml:space="preserve"> Jei Rangovas nesavalaikiai vykdo šioje Sutartyje nustatytus įsipareigojimus, Užsakovas turi teisę be oficialaus įspėjimo ir nesumažindamas kitų savo teisių gynimo priemonių, numatytų Sutartyje, pradėti skaičiuoti delspinigius. Jei Rangovas vėluoja atlikti Darbus iki galutinio Darbų atlikimo termino, Rangovas privalo mokėti Užsakovui delspinigius po 0,0</w:t>
      </w:r>
      <w:r>
        <w:rPr>
          <w:bCs/>
        </w:rPr>
        <w:t>2</w:t>
      </w:r>
      <w:r w:rsidRPr="005B7D8C">
        <w:rPr>
          <w:bCs/>
        </w:rPr>
        <w:t xml:space="preserve"> procento nuo neatliktų Darbų dalies vertės.  Delspinigiai skaičiuojami už kiekvieną vėluojamą dieną iki prievolės įvykdymo </w:t>
      </w:r>
      <w:r w:rsidRPr="00044EE4">
        <w:rPr>
          <w:bCs/>
        </w:rPr>
        <w:t>dienos. Rangovui vėluojant atlikti Darbus iki tarpinio (-ių) Darbų atlikimo termino (-ų), nurodyto (-ų) Darbų grafike, jis privalo mokėti Užsakovui delspinigius po 0,02 procento nuo neatliktų Darbų dalies vertės už kiekvieną vėluojamą dieną iki prievolės įvykdymo dienos.</w:t>
      </w:r>
      <w:r w:rsidRPr="005B7D8C">
        <w:rPr>
          <w:bCs/>
        </w:rPr>
        <w:t xml:space="preserve"> Delspinigių sumokėjimas neatleidžia Rangovo nuo įsipareigojimo baigti Darbus.</w:t>
      </w:r>
    </w:p>
    <w:p w14:paraId="6473E1FD" w14:textId="77777777" w:rsidR="005B7D8C" w:rsidRDefault="005B7D8C" w:rsidP="005B7D8C">
      <w:pPr>
        <w:spacing w:after="0" w:line="240" w:lineRule="auto"/>
        <w:ind w:firstLine="720"/>
        <w:jc w:val="both"/>
        <w:rPr>
          <w:bCs/>
        </w:rPr>
      </w:pPr>
      <w:r>
        <w:rPr>
          <w:bCs/>
        </w:rPr>
        <w:t>10</w:t>
      </w:r>
      <w:r w:rsidRPr="005B7D8C">
        <w:rPr>
          <w:bCs/>
        </w:rPr>
        <w:t>.</w:t>
      </w:r>
      <w:r w:rsidR="00044EE4">
        <w:rPr>
          <w:bCs/>
        </w:rPr>
        <w:t>6</w:t>
      </w:r>
      <w:r w:rsidRPr="005B7D8C">
        <w:rPr>
          <w:bCs/>
        </w:rPr>
        <w:t>.</w:t>
      </w:r>
      <w:r>
        <w:rPr>
          <w:bCs/>
        </w:rPr>
        <w:t xml:space="preserve"> Jei Užsakovas l</w:t>
      </w:r>
      <w:r w:rsidRPr="005B7D8C">
        <w:rPr>
          <w:bCs/>
        </w:rPr>
        <w:t>aiku neapmok</w:t>
      </w:r>
      <w:r>
        <w:rPr>
          <w:bCs/>
        </w:rPr>
        <w:t>a</w:t>
      </w:r>
      <w:r w:rsidRPr="005B7D8C">
        <w:rPr>
          <w:bCs/>
        </w:rPr>
        <w:t xml:space="preserve"> už tinkamai atliktus ir priimtus Darbus, Rangovas gali skaičiuoti delspinigius po 0,02 procento nuo laiku neapmokėtos sumos.</w:t>
      </w:r>
    </w:p>
    <w:p w14:paraId="4CB18F49" w14:textId="77777777" w:rsidR="005B7D8C" w:rsidRDefault="005B7D8C" w:rsidP="005B7D8C">
      <w:pPr>
        <w:spacing w:after="0" w:line="240" w:lineRule="auto"/>
        <w:ind w:firstLine="720"/>
        <w:jc w:val="both"/>
        <w:rPr>
          <w:bCs/>
        </w:rPr>
      </w:pPr>
    </w:p>
    <w:p w14:paraId="52D2BE55" w14:textId="77777777" w:rsidR="00E346FC" w:rsidRDefault="00044EE4" w:rsidP="00044EE4">
      <w:pPr>
        <w:spacing w:after="0" w:line="240" w:lineRule="auto"/>
        <w:ind w:left="2592" w:firstLine="1296"/>
        <w:jc w:val="both"/>
        <w:rPr>
          <w:b/>
          <w:bCs/>
        </w:rPr>
      </w:pPr>
      <w:r w:rsidRPr="00044EE4">
        <w:rPr>
          <w:b/>
          <w:bCs/>
        </w:rPr>
        <w:lastRenderedPageBreak/>
        <w:t xml:space="preserve">XI. </w:t>
      </w:r>
      <w:r w:rsidR="00E346FC" w:rsidRPr="00044EE4">
        <w:rPr>
          <w:b/>
          <w:bCs/>
        </w:rPr>
        <w:t>NENUGALIMA JĖGA</w:t>
      </w:r>
    </w:p>
    <w:p w14:paraId="79DCA269" w14:textId="77777777" w:rsidR="00C20DAA" w:rsidRPr="00044EE4" w:rsidRDefault="00C20DAA" w:rsidP="00044EE4">
      <w:pPr>
        <w:spacing w:after="0" w:line="240" w:lineRule="auto"/>
        <w:ind w:left="2592" w:firstLine="1296"/>
        <w:jc w:val="both"/>
        <w:rPr>
          <w:b/>
          <w:bCs/>
        </w:rPr>
      </w:pPr>
    </w:p>
    <w:p w14:paraId="204F86B0" w14:textId="77777777" w:rsidR="00351F46" w:rsidRPr="003F11FD" w:rsidRDefault="00C20DAA" w:rsidP="00C20DAA">
      <w:pPr>
        <w:spacing w:after="0" w:line="240" w:lineRule="auto"/>
        <w:ind w:firstLine="720"/>
        <w:jc w:val="both"/>
        <w:rPr>
          <w:bCs/>
          <w:highlight w:val="lightGray"/>
        </w:rPr>
      </w:pPr>
      <w:r>
        <w:rPr>
          <w:bCs/>
        </w:rPr>
        <w:t>11.1.</w:t>
      </w:r>
      <w:r w:rsidRPr="005B7D8C">
        <w:rPr>
          <w:bCs/>
        </w:rPr>
        <w:t>Nenugalimos jėgos aplinkybėmis laikomos aplinkybės, nurodytos Lietuvos Respublikos civilinio kodekso 6.212 str. ir kituose Lietuvos Respublikos teisės aktuose.</w:t>
      </w:r>
    </w:p>
    <w:p w14:paraId="25EEE12F" w14:textId="77777777" w:rsidR="00E346FC" w:rsidRPr="00C20DAA" w:rsidRDefault="00C20DAA" w:rsidP="00E346FC">
      <w:pPr>
        <w:spacing w:after="0" w:line="240" w:lineRule="auto"/>
        <w:ind w:firstLine="720"/>
        <w:jc w:val="both"/>
      </w:pPr>
      <w:r w:rsidRPr="00C20DAA">
        <w:t>11</w:t>
      </w:r>
      <w:r w:rsidR="00E346FC" w:rsidRPr="00C20DAA">
        <w:t>.2. Nenugalima jėga (</w:t>
      </w:r>
      <w:r w:rsidR="00E346FC" w:rsidRPr="00C20DAA">
        <w:rPr>
          <w:i/>
        </w:rPr>
        <w:t>force majeure</w:t>
      </w:r>
      <w:r w:rsidR="00E346FC" w:rsidRPr="00C20DAA">
        <w:t>) nelaikoma tai, kad rinkoje nėra reikalingų prievolei vykdyti prekių, Šalis neturi reikiamų finansinių išteklių arba Šalies kontrahentai pažeidžia savo prievoles. Nenugalima jėga (</w:t>
      </w:r>
      <w:r w:rsidR="00E346FC" w:rsidRPr="00C20DAA">
        <w:rPr>
          <w:i/>
        </w:rPr>
        <w:t>force majeure</w:t>
      </w:r>
      <w:r w:rsidR="00E346FC" w:rsidRPr="00C20DAA">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58419A58" w14:textId="77777777" w:rsidR="00044EE4" w:rsidRDefault="00C20DAA" w:rsidP="00044EE4">
      <w:pPr>
        <w:spacing w:after="0" w:line="240" w:lineRule="auto"/>
        <w:ind w:firstLine="720"/>
        <w:jc w:val="both"/>
        <w:rPr>
          <w:bCs/>
        </w:rPr>
      </w:pPr>
      <w:r w:rsidRPr="00C20DAA">
        <w:t>11</w:t>
      </w:r>
      <w:r w:rsidR="00E346FC" w:rsidRPr="00C20DAA">
        <w:t>.3. Sutartis baigiasi kitos Šalies reikalavimu, kai ją įvykdyti kitai Šaliai neįmanoma dėl nenugalimos jėgos (</w:t>
      </w:r>
      <w:r w:rsidR="00E346FC" w:rsidRPr="00C20DAA">
        <w:rPr>
          <w:i/>
        </w:rPr>
        <w:t>force majeure</w:t>
      </w:r>
      <w:r w:rsidR="00E346FC" w:rsidRPr="00C20DAA">
        <w:t>).</w:t>
      </w:r>
    </w:p>
    <w:p w14:paraId="67CB0CBD" w14:textId="77777777" w:rsidR="00E346FC" w:rsidRPr="00921E30" w:rsidRDefault="00C20DAA" w:rsidP="00921E30">
      <w:pPr>
        <w:spacing w:after="0" w:line="240" w:lineRule="auto"/>
        <w:ind w:firstLine="720"/>
        <w:jc w:val="both"/>
        <w:rPr>
          <w:bCs/>
        </w:rPr>
      </w:pPr>
      <w:r>
        <w:rPr>
          <w:bCs/>
        </w:rPr>
        <w:t>11</w:t>
      </w:r>
      <w:r w:rsidR="00044EE4" w:rsidRPr="005B7D8C">
        <w:rPr>
          <w:bCs/>
        </w:rPr>
        <w:t>.</w:t>
      </w:r>
      <w:r w:rsidR="00044EE4">
        <w:rPr>
          <w:bCs/>
        </w:rPr>
        <w:t>6</w:t>
      </w:r>
      <w:r w:rsidR="00044EE4" w:rsidRPr="005B7D8C">
        <w:rPr>
          <w:bCs/>
        </w:rPr>
        <w:t>.</w:t>
      </w:r>
      <w:r w:rsidR="00044EE4" w:rsidRPr="005B7D8C">
        <w:rPr>
          <w:bCs/>
        </w:rPr>
        <w:tab/>
        <w:t xml:space="preserve"> Atsiradus Nenugalimos jėgos aplinkybėms, Šalis privalo imtis visų pagrįstų priemonių galimai žalai sumažinti ir, kad jos turėtų kuo mažesnę įtaką Sutarties vykdymo terminams. </w:t>
      </w:r>
    </w:p>
    <w:p w14:paraId="73B4A8A4" w14:textId="77777777" w:rsidR="00E346FC" w:rsidRDefault="00E346FC" w:rsidP="00E346FC">
      <w:pPr>
        <w:spacing w:after="0" w:line="240" w:lineRule="auto"/>
        <w:ind w:firstLine="720"/>
        <w:jc w:val="both"/>
      </w:pPr>
    </w:p>
    <w:p w14:paraId="74B690B0" w14:textId="77777777" w:rsidR="00E346FC" w:rsidRDefault="00E346FC" w:rsidP="00E346FC">
      <w:pPr>
        <w:spacing w:after="0" w:line="240" w:lineRule="auto"/>
        <w:ind w:firstLine="720"/>
        <w:jc w:val="center"/>
        <w:rPr>
          <w:b/>
          <w:bCs/>
        </w:rPr>
      </w:pPr>
      <w:r>
        <w:rPr>
          <w:b/>
          <w:bCs/>
        </w:rPr>
        <w:t>X</w:t>
      </w:r>
      <w:r w:rsidR="00A44982">
        <w:rPr>
          <w:b/>
          <w:bCs/>
        </w:rPr>
        <w:t>I</w:t>
      </w:r>
      <w:r w:rsidR="00C20DAA">
        <w:rPr>
          <w:b/>
          <w:bCs/>
        </w:rPr>
        <w:t>I</w:t>
      </w:r>
      <w:r w:rsidRPr="00187BE7">
        <w:rPr>
          <w:b/>
          <w:bCs/>
        </w:rPr>
        <w:t>. GINČŲ SPRENDIMO TVARKA</w:t>
      </w:r>
    </w:p>
    <w:p w14:paraId="1AD9AC8C" w14:textId="77777777" w:rsidR="00A44982" w:rsidRPr="00187BE7" w:rsidRDefault="00A44982" w:rsidP="00E346FC">
      <w:pPr>
        <w:spacing w:after="0" w:line="240" w:lineRule="auto"/>
        <w:ind w:firstLine="720"/>
        <w:jc w:val="center"/>
        <w:rPr>
          <w:b/>
          <w:bCs/>
        </w:rPr>
      </w:pPr>
    </w:p>
    <w:p w14:paraId="2BBD2D09" w14:textId="77777777" w:rsidR="00E346FC" w:rsidRDefault="00C20DAA" w:rsidP="00E346FC">
      <w:pPr>
        <w:keepNext/>
        <w:widowControl w:val="0"/>
        <w:autoSpaceDE w:val="0"/>
        <w:autoSpaceDN w:val="0"/>
        <w:adjustRightInd w:val="0"/>
        <w:spacing w:after="0" w:line="240" w:lineRule="auto"/>
        <w:ind w:firstLine="720"/>
        <w:jc w:val="both"/>
        <w:outlineLvl w:val="0"/>
        <w:rPr>
          <w:bCs/>
        </w:rPr>
      </w:pPr>
      <w:r>
        <w:rPr>
          <w:bCs/>
        </w:rPr>
        <w:t>12</w:t>
      </w:r>
      <w:r w:rsidR="00E346FC">
        <w:rPr>
          <w:bCs/>
        </w:rPr>
        <w:t>.1. Sutarties Š</w:t>
      </w:r>
      <w:r w:rsidR="00E346FC" w:rsidRPr="00187BE7">
        <w:rPr>
          <w:bCs/>
        </w:rPr>
        <w:t xml:space="preserve">alys visus ginčus stengiasi išspręsti derybomis. Kilus ginčui, </w:t>
      </w:r>
      <w:r w:rsidR="00E346FC">
        <w:rPr>
          <w:bCs/>
        </w:rPr>
        <w:t>S</w:t>
      </w:r>
      <w:r w:rsidR="00E346FC" w:rsidRPr="00187BE7">
        <w:rPr>
          <w:bCs/>
        </w:rPr>
        <w:t xml:space="preserve">utarties </w:t>
      </w:r>
      <w:r w:rsidR="00E346FC">
        <w:rPr>
          <w:bCs/>
        </w:rPr>
        <w:t>Š</w:t>
      </w:r>
      <w:r w:rsidR="00E346FC" w:rsidRPr="00187BE7">
        <w:rPr>
          <w:bCs/>
        </w:rPr>
        <w:t xml:space="preserve">alys raštu išdėsto savo nuomonę kitai Šaliai ir pasiūlo ginčo sprendimą. Gavusi pasiūlymą ginčą spręsti derybomis, Šalis privalo į jį atsakyti per 30 kalendorinių dienų. Ginčas turi būti išspręstas per ne ilgesnį nei 60 kalendorinių dienų terminą nuo derybų pradžios. Jei ginčo išspręsti derybomis nepavyksta arba, jei kuri nors Šalis laiku neatsako į pasiūlymą ginčą spręsti derybomis, kita Šalis turi teisę, kreiptis į teismą. </w:t>
      </w:r>
      <w:r w:rsidR="00E346FC">
        <w:rPr>
          <w:bCs/>
        </w:rPr>
        <w:t>Visi ginčai, kylantys dėl šios S</w:t>
      </w:r>
      <w:r w:rsidR="00E346FC" w:rsidRPr="00187BE7">
        <w:rPr>
          <w:bCs/>
        </w:rPr>
        <w:t xml:space="preserve">utarties ar su ja susiję, nepavykus jų išspręsti derybų būdu, sprendžiami Lietuvos Respublikos civilinio proceso kodekso nustatyta tvarka teisme pagal </w:t>
      </w:r>
      <w:r w:rsidR="00E346FC">
        <w:rPr>
          <w:bCs/>
        </w:rPr>
        <w:t xml:space="preserve">Užsakovo </w:t>
      </w:r>
      <w:r w:rsidR="00E346FC" w:rsidRPr="00187BE7">
        <w:rPr>
          <w:bCs/>
        </w:rPr>
        <w:t>buveinės vietą.</w:t>
      </w:r>
    </w:p>
    <w:p w14:paraId="13757243" w14:textId="77777777" w:rsidR="00E346FC" w:rsidRPr="00187BE7" w:rsidRDefault="00E346FC" w:rsidP="00E346FC">
      <w:pPr>
        <w:keepNext/>
        <w:widowControl w:val="0"/>
        <w:autoSpaceDE w:val="0"/>
        <w:autoSpaceDN w:val="0"/>
        <w:adjustRightInd w:val="0"/>
        <w:spacing w:after="0" w:line="240" w:lineRule="auto"/>
        <w:ind w:firstLine="720"/>
        <w:jc w:val="both"/>
        <w:outlineLvl w:val="0"/>
        <w:rPr>
          <w:bCs/>
        </w:rPr>
      </w:pPr>
    </w:p>
    <w:p w14:paraId="1BAD2C77" w14:textId="77777777" w:rsidR="00E346FC" w:rsidRDefault="00E346FC" w:rsidP="00E346FC">
      <w:pPr>
        <w:spacing w:after="0" w:line="240" w:lineRule="auto"/>
        <w:ind w:firstLine="720"/>
        <w:jc w:val="center"/>
        <w:rPr>
          <w:b/>
          <w:lang w:eastAsia="ru-RU"/>
        </w:rPr>
      </w:pPr>
      <w:r>
        <w:rPr>
          <w:b/>
          <w:lang w:eastAsia="ru-RU"/>
        </w:rPr>
        <w:t>X</w:t>
      </w:r>
      <w:r w:rsidR="00BE6AB0">
        <w:rPr>
          <w:b/>
          <w:lang w:eastAsia="ru-RU"/>
        </w:rPr>
        <w:t>I</w:t>
      </w:r>
      <w:r w:rsidR="00B70816">
        <w:rPr>
          <w:b/>
          <w:lang w:eastAsia="ru-RU"/>
        </w:rPr>
        <w:t>I</w:t>
      </w:r>
      <w:r w:rsidR="00C20DAA">
        <w:rPr>
          <w:b/>
          <w:lang w:eastAsia="ru-RU"/>
        </w:rPr>
        <w:t>I</w:t>
      </w:r>
      <w:r w:rsidRPr="00187BE7">
        <w:rPr>
          <w:b/>
          <w:lang w:eastAsia="ru-RU"/>
        </w:rPr>
        <w:t>.</w:t>
      </w:r>
      <w:r w:rsidR="00921E30">
        <w:rPr>
          <w:b/>
          <w:lang w:eastAsia="ru-RU"/>
        </w:rPr>
        <w:t xml:space="preserve"> </w:t>
      </w:r>
      <w:r w:rsidRPr="00187BE7">
        <w:rPr>
          <w:b/>
          <w:lang w:eastAsia="ru-RU"/>
        </w:rPr>
        <w:t>SUTARTIES GALIOJIMAS IR NUTRAUKIMAS</w:t>
      </w:r>
    </w:p>
    <w:p w14:paraId="5D8F8694" w14:textId="77777777" w:rsidR="00BE6AB0" w:rsidRPr="00187BE7" w:rsidRDefault="00BE6AB0" w:rsidP="00E346FC">
      <w:pPr>
        <w:spacing w:after="0" w:line="240" w:lineRule="auto"/>
        <w:ind w:firstLine="720"/>
        <w:jc w:val="center"/>
        <w:rPr>
          <w:b/>
          <w:lang w:eastAsia="ru-RU"/>
        </w:rPr>
      </w:pPr>
    </w:p>
    <w:p w14:paraId="662AC231" w14:textId="5E7093A2" w:rsidR="00E346FC" w:rsidRPr="00187BE7" w:rsidRDefault="00E346FC" w:rsidP="00E346FC">
      <w:pPr>
        <w:tabs>
          <w:tab w:val="left" w:pos="709"/>
        </w:tabs>
        <w:spacing w:after="0" w:line="240" w:lineRule="auto"/>
        <w:ind w:firstLine="720"/>
        <w:jc w:val="both"/>
        <w:rPr>
          <w:lang w:eastAsia="ru-RU"/>
        </w:rPr>
      </w:pPr>
      <w:r w:rsidRPr="00C20DAA">
        <w:rPr>
          <w:lang w:eastAsia="ru-RU"/>
        </w:rPr>
        <w:t>1</w:t>
      </w:r>
      <w:r w:rsidR="00C20DAA" w:rsidRPr="00C20DAA">
        <w:rPr>
          <w:lang w:eastAsia="ru-RU"/>
        </w:rPr>
        <w:t>3</w:t>
      </w:r>
      <w:r w:rsidRPr="00C20DAA">
        <w:rPr>
          <w:lang w:eastAsia="ru-RU"/>
        </w:rPr>
        <w:t xml:space="preserve">.1. </w:t>
      </w:r>
      <w:r w:rsidR="00A46A12" w:rsidRPr="00C20DAA">
        <w:rPr>
          <w:lang w:eastAsia="ru-RU"/>
        </w:rPr>
        <w:t>Sutartis įsigalioja Sutarties Šalims pasirašius Sutartį</w:t>
      </w:r>
      <w:r w:rsidR="00A907C7">
        <w:rPr>
          <w:lang w:eastAsia="ru-RU"/>
        </w:rPr>
        <w:t>.</w:t>
      </w:r>
    </w:p>
    <w:p w14:paraId="1168B742" w14:textId="77777777" w:rsidR="00E346FC" w:rsidRPr="00187BE7" w:rsidRDefault="00E346FC" w:rsidP="00E346FC">
      <w:pPr>
        <w:spacing w:after="0" w:line="240" w:lineRule="auto"/>
        <w:ind w:firstLine="720"/>
        <w:jc w:val="both"/>
        <w:rPr>
          <w:lang w:eastAsia="ru-RU"/>
        </w:rPr>
      </w:pPr>
      <w:r w:rsidRPr="00187BE7">
        <w:rPr>
          <w:lang w:eastAsia="ru-RU"/>
        </w:rPr>
        <w:t>1</w:t>
      </w:r>
      <w:r w:rsidR="00C20DAA">
        <w:rPr>
          <w:lang w:eastAsia="ru-RU"/>
        </w:rPr>
        <w:t>3</w:t>
      </w:r>
      <w:r w:rsidRPr="00187BE7">
        <w:rPr>
          <w:lang w:eastAsia="ru-RU"/>
        </w:rPr>
        <w:t>.2. Užsakovas turi teisę vienašališkai nutraukti Sutartį, prieš 10 (dešimt) kalendorinių dienų raštu pranešęs apie tai Rangovui, jeigu:</w:t>
      </w:r>
    </w:p>
    <w:p w14:paraId="794B1034" w14:textId="77777777" w:rsidR="00E346FC" w:rsidRPr="00187BE7" w:rsidRDefault="00E346FC" w:rsidP="00E346FC">
      <w:pPr>
        <w:spacing w:after="0" w:line="240" w:lineRule="auto"/>
        <w:ind w:firstLine="720"/>
        <w:jc w:val="both"/>
        <w:rPr>
          <w:lang w:eastAsia="ru-RU"/>
        </w:rPr>
      </w:pPr>
      <w:r w:rsidRPr="00187BE7">
        <w:rPr>
          <w:lang w:eastAsia="ru-RU"/>
        </w:rPr>
        <w:t>1</w:t>
      </w:r>
      <w:r w:rsidR="00C20DAA">
        <w:rPr>
          <w:lang w:eastAsia="ru-RU"/>
        </w:rPr>
        <w:t>3</w:t>
      </w:r>
      <w:r w:rsidRPr="00187BE7">
        <w:rPr>
          <w:lang w:eastAsia="ru-RU"/>
        </w:rPr>
        <w:t>.2.1. pastarasis nevykdo arba netinkamai vykdo Sutartyje nurodytus įsipareigojimus;</w:t>
      </w:r>
    </w:p>
    <w:p w14:paraId="4FB981B1" w14:textId="77777777" w:rsidR="00E346FC" w:rsidRPr="00187BE7" w:rsidRDefault="00C20DAA" w:rsidP="00E346FC">
      <w:pPr>
        <w:spacing w:after="0" w:line="240" w:lineRule="auto"/>
        <w:ind w:firstLine="720"/>
        <w:jc w:val="both"/>
        <w:rPr>
          <w:lang w:eastAsia="ru-RU"/>
        </w:rPr>
      </w:pPr>
      <w:r>
        <w:rPr>
          <w:lang w:eastAsia="ru-RU"/>
        </w:rPr>
        <w:t>13</w:t>
      </w:r>
      <w:r w:rsidR="00E346FC" w:rsidRPr="00187BE7">
        <w:rPr>
          <w:lang w:eastAsia="ru-RU"/>
        </w:rPr>
        <w:t>.2.2. Rangovas sudaro sub</w:t>
      </w:r>
      <w:r w:rsidR="00C770E1">
        <w:rPr>
          <w:lang w:eastAsia="ru-RU"/>
        </w:rPr>
        <w:t>rangos</w:t>
      </w:r>
      <w:r w:rsidR="00E346FC" w:rsidRPr="00187BE7">
        <w:rPr>
          <w:lang w:eastAsia="ru-RU"/>
        </w:rPr>
        <w:t xml:space="preserve"> sutartį be Užsakovo sutikimo;</w:t>
      </w:r>
    </w:p>
    <w:p w14:paraId="1AB1453C" w14:textId="77777777" w:rsidR="00E346FC" w:rsidRPr="00187BE7" w:rsidRDefault="00C20DAA" w:rsidP="00E346FC">
      <w:pPr>
        <w:spacing w:after="0" w:line="240" w:lineRule="auto"/>
        <w:ind w:firstLine="720"/>
        <w:jc w:val="both"/>
        <w:rPr>
          <w:lang w:eastAsia="ru-RU"/>
        </w:rPr>
      </w:pPr>
      <w:r>
        <w:rPr>
          <w:lang w:eastAsia="ru-RU"/>
        </w:rPr>
        <w:t>13</w:t>
      </w:r>
      <w:r w:rsidR="00E346FC" w:rsidRPr="00187BE7">
        <w:rPr>
          <w:lang w:eastAsia="ru-RU"/>
        </w:rPr>
        <w:t>.2.3. Rangovas įsiteisėjusiu kompetentingos institucijos ar teismo sprendimu yra pripažintas kaltu dėl profesinio pažeidimo, sukčiavimo, korupcijos, pinigų plovimo, dalyvavimo nusikalstamoje organizacijoje arba kai Rangovas netenka licencijos, akreditavimo ar kitų leidimų, kurie yra būtini jo veiklai vykdyti;</w:t>
      </w:r>
    </w:p>
    <w:p w14:paraId="1DB9D1C9" w14:textId="77777777" w:rsidR="00E346FC" w:rsidRDefault="00E346FC" w:rsidP="00E346FC">
      <w:pPr>
        <w:spacing w:after="0" w:line="240" w:lineRule="auto"/>
        <w:ind w:firstLine="720"/>
        <w:jc w:val="both"/>
        <w:rPr>
          <w:lang w:eastAsia="ru-RU"/>
        </w:rPr>
      </w:pPr>
      <w:r w:rsidRPr="00187BE7">
        <w:rPr>
          <w:lang w:eastAsia="ru-RU"/>
        </w:rPr>
        <w:t>1</w:t>
      </w:r>
      <w:r w:rsidR="00C20DAA">
        <w:rPr>
          <w:lang w:eastAsia="ru-RU"/>
        </w:rPr>
        <w:t>3</w:t>
      </w:r>
      <w:r w:rsidRPr="00187BE7">
        <w:rPr>
          <w:lang w:eastAsia="ru-RU"/>
        </w:rPr>
        <w:t>.2.4. Rangovas bankrutuoja arba yra likviduojamas, sustabdo ūkinę veiklą arba įstatymuose ir kituose teisės aktuose numatyta tvarka susidaro analogiška situacija;</w:t>
      </w:r>
    </w:p>
    <w:p w14:paraId="7CB1CE54" w14:textId="77777777" w:rsidR="00080421" w:rsidRDefault="00C20DAA" w:rsidP="00080421">
      <w:pPr>
        <w:spacing w:after="0" w:line="240" w:lineRule="auto"/>
        <w:ind w:firstLine="720"/>
        <w:jc w:val="both"/>
        <w:rPr>
          <w:color w:val="000000" w:themeColor="text1"/>
          <w:shd w:val="clear" w:color="auto" w:fill="FFFFFF"/>
        </w:rPr>
      </w:pPr>
      <w:r>
        <w:rPr>
          <w:color w:val="000000" w:themeColor="text1"/>
          <w:shd w:val="clear" w:color="auto" w:fill="FFFFFF"/>
        </w:rPr>
        <w:t>13</w:t>
      </w:r>
      <w:r w:rsidR="00080421">
        <w:rPr>
          <w:color w:val="000000" w:themeColor="text1"/>
          <w:shd w:val="clear" w:color="auto" w:fill="FFFFFF"/>
        </w:rPr>
        <w:t xml:space="preserve">.3. </w:t>
      </w:r>
      <w:r w:rsidR="00080421" w:rsidRPr="00683A48">
        <w:rPr>
          <w:color w:val="000000" w:themeColor="text1"/>
          <w:shd w:val="clear" w:color="auto" w:fill="FFFFFF"/>
        </w:rPr>
        <w:t>Sutarties sąlygos gali būti keičiamos tik vadovaujantis Viešųjų pirkimų įstatymo 89 straipsnio nuostatomis ir, kurias pakeitus, nebūtų pažeisti Viešųjų pirkimų įstatymo 17 straipsnyje nustatyti principai ir tikslai ir vadovaujantis Viešųjų pirkimų tarnybos patvirtintų Kainodaros taisyklių nustatymo metodikos galiojančios redakcijos nuostatomis.</w:t>
      </w:r>
    </w:p>
    <w:p w14:paraId="4C456334" w14:textId="77777777" w:rsidR="006C173B" w:rsidRPr="00187BE7" w:rsidRDefault="00C20DAA" w:rsidP="00080421">
      <w:pPr>
        <w:spacing w:after="0" w:line="240" w:lineRule="auto"/>
        <w:ind w:firstLine="720"/>
        <w:jc w:val="both"/>
        <w:rPr>
          <w:lang w:eastAsia="ru-RU"/>
        </w:rPr>
      </w:pPr>
      <w:r>
        <w:rPr>
          <w:color w:val="000000" w:themeColor="text1"/>
          <w:spacing w:val="2"/>
          <w:lang w:eastAsia="lt-LT"/>
        </w:rPr>
        <w:t>13</w:t>
      </w:r>
      <w:r w:rsidR="006C173B">
        <w:rPr>
          <w:color w:val="000000" w:themeColor="text1"/>
          <w:spacing w:val="2"/>
          <w:lang w:eastAsia="lt-LT"/>
        </w:rPr>
        <w:t xml:space="preserve">.4. </w:t>
      </w:r>
      <w:r w:rsidR="006C173B" w:rsidRPr="00683A48">
        <w:rPr>
          <w:color w:val="000000" w:themeColor="text1"/>
          <w:spacing w:val="2"/>
          <w:lang w:eastAsia="lt-LT"/>
        </w:rPr>
        <w:t xml:space="preserve">Sutarties galiojimo laikotarpiu, Šalis inicijuojanti šios Sutarties sąlygų pakeitimą, pateikia kitai šaliai raštišką prašymą keisti Sutartį bei dokumentus, įrodančius aplinkybes, dėl kurių būtina keisti Sutarties sąlygas, argumentus, paaiškinimus, kopijas. Į pateiktą prašymą pakeisti Sutarties sąlygas kita šalis atsako per 7 (septynias) kalendorines dienas. Sutarties Šalims </w:t>
      </w:r>
      <w:r w:rsidR="006C173B" w:rsidRPr="00683A48">
        <w:rPr>
          <w:color w:val="000000" w:themeColor="text1"/>
          <w:spacing w:val="2"/>
          <w:lang w:eastAsia="lt-LT"/>
        </w:rPr>
        <w:lastRenderedPageBreak/>
        <w:t>susitarus dėl sąlygų pakeitimo, šie keitimai įforminami rašytiniu susitarimu prie Sutarties, kuris yra neatsiejama Sutarties dalis.</w:t>
      </w:r>
    </w:p>
    <w:p w14:paraId="1CFB90F1" w14:textId="77777777" w:rsidR="00E346FC" w:rsidRPr="00187BE7" w:rsidRDefault="00C20DAA" w:rsidP="00E346FC">
      <w:pPr>
        <w:spacing w:after="0" w:line="240" w:lineRule="auto"/>
        <w:ind w:firstLine="720"/>
        <w:jc w:val="both"/>
        <w:rPr>
          <w:lang w:eastAsia="ru-RU"/>
        </w:rPr>
      </w:pPr>
      <w:r>
        <w:rPr>
          <w:lang w:eastAsia="ru-RU"/>
        </w:rPr>
        <w:t>13</w:t>
      </w:r>
      <w:r w:rsidR="006C173B">
        <w:rPr>
          <w:lang w:eastAsia="ru-RU"/>
        </w:rPr>
        <w:t>.5</w:t>
      </w:r>
      <w:r w:rsidR="00E346FC" w:rsidRPr="00187BE7">
        <w:rPr>
          <w:lang w:eastAsia="ru-RU"/>
        </w:rPr>
        <w:t>. Sutartis gali būti nutraukta raštišku abiejų Šalių susitarimu, apie tokį Sutarties nutraukimą kitai Šaliai pranešant ne vėliau kaip prieš 10 (dešimt) kalendorinių dienų.</w:t>
      </w:r>
    </w:p>
    <w:p w14:paraId="79F4393A" w14:textId="77777777" w:rsidR="00E346FC" w:rsidRDefault="00E346FC" w:rsidP="00E346FC">
      <w:pPr>
        <w:spacing w:after="0" w:line="240" w:lineRule="auto"/>
        <w:ind w:firstLine="720"/>
        <w:jc w:val="both"/>
        <w:rPr>
          <w:lang w:eastAsia="ru-RU"/>
        </w:rPr>
      </w:pPr>
      <w:r w:rsidRPr="00187BE7">
        <w:rPr>
          <w:lang w:eastAsia="ru-RU"/>
        </w:rPr>
        <w:t>1</w:t>
      </w:r>
      <w:r w:rsidR="00C20DAA">
        <w:rPr>
          <w:lang w:eastAsia="ru-RU"/>
        </w:rPr>
        <w:t>3</w:t>
      </w:r>
      <w:r w:rsidR="006C173B">
        <w:rPr>
          <w:lang w:eastAsia="ru-RU"/>
        </w:rPr>
        <w:t>.6</w:t>
      </w:r>
      <w:r w:rsidRPr="00187BE7">
        <w:rPr>
          <w:lang w:eastAsia="ru-RU"/>
        </w:rPr>
        <w:t>.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29445172" w14:textId="77777777" w:rsidR="00E346FC" w:rsidRDefault="00E346FC" w:rsidP="00E346FC">
      <w:pPr>
        <w:spacing w:after="0" w:line="240" w:lineRule="auto"/>
        <w:ind w:firstLine="720"/>
        <w:jc w:val="both"/>
        <w:rPr>
          <w:lang w:eastAsia="ru-RU"/>
        </w:rPr>
      </w:pPr>
    </w:p>
    <w:p w14:paraId="3CF54121" w14:textId="77777777" w:rsidR="00E346FC" w:rsidRDefault="00E346FC" w:rsidP="00E346FC">
      <w:pPr>
        <w:spacing w:after="0" w:line="240" w:lineRule="auto"/>
        <w:ind w:firstLine="720"/>
        <w:jc w:val="center"/>
        <w:rPr>
          <w:b/>
          <w:lang w:eastAsia="ru-RU"/>
        </w:rPr>
      </w:pPr>
      <w:r>
        <w:rPr>
          <w:b/>
          <w:lang w:eastAsia="ru-RU"/>
        </w:rPr>
        <w:t>XI</w:t>
      </w:r>
      <w:r w:rsidR="00C20DAA">
        <w:rPr>
          <w:b/>
          <w:lang w:eastAsia="ru-RU"/>
        </w:rPr>
        <w:t>V</w:t>
      </w:r>
      <w:r w:rsidRPr="00187BE7">
        <w:rPr>
          <w:b/>
          <w:lang w:eastAsia="ru-RU"/>
        </w:rPr>
        <w:t>.</w:t>
      </w:r>
      <w:r w:rsidR="00921E30">
        <w:rPr>
          <w:b/>
          <w:lang w:eastAsia="ru-RU"/>
        </w:rPr>
        <w:t xml:space="preserve"> </w:t>
      </w:r>
      <w:r w:rsidRPr="00187BE7">
        <w:rPr>
          <w:b/>
          <w:lang w:eastAsia="ru-RU"/>
        </w:rPr>
        <w:t xml:space="preserve">SUTARTIES </w:t>
      </w:r>
      <w:r>
        <w:rPr>
          <w:b/>
          <w:lang w:eastAsia="ru-RU"/>
        </w:rPr>
        <w:t>SUSTABDYMAS</w:t>
      </w:r>
    </w:p>
    <w:p w14:paraId="27D06A1A" w14:textId="77777777" w:rsidR="00BE6AB0" w:rsidRPr="00E15CB3" w:rsidRDefault="00BE6AB0" w:rsidP="00E346FC">
      <w:pPr>
        <w:spacing w:after="0" w:line="240" w:lineRule="auto"/>
        <w:ind w:firstLine="720"/>
        <w:jc w:val="center"/>
        <w:rPr>
          <w:b/>
          <w:lang w:eastAsia="ru-RU"/>
        </w:rPr>
      </w:pPr>
    </w:p>
    <w:p w14:paraId="01833C7E" w14:textId="77777777" w:rsidR="00E346FC" w:rsidRDefault="00C20DAA" w:rsidP="00E346FC">
      <w:pPr>
        <w:spacing w:after="0" w:line="240" w:lineRule="auto"/>
        <w:ind w:firstLine="720"/>
        <w:jc w:val="both"/>
      </w:pPr>
      <w:r>
        <w:t>14</w:t>
      </w:r>
      <w:r w:rsidR="00E346FC">
        <w:t xml:space="preserve">.1. Darbų vykdymas gali būti stabdomas dėl: </w:t>
      </w:r>
    </w:p>
    <w:p w14:paraId="22B46778" w14:textId="77777777" w:rsidR="00E346FC" w:rsidRDefault="00C20DAA" w:rsidP="00E346FC">
      <w:pPr>
        <w:spacing w:after="0" w:line="240" w:lineRule="auto"/>
        <w:ind w:firstLine="720"/>
        <w:jc w:val="both"/>
      </w:pPr>
      <w:r>
        <w:t>14</w:t>
      </w:r>
      <w:r w:rsidR="00E346FC">
        <w:t xml:space="preserve">.1.1. valstybės ar savivaldos institucijų neveikimo, nesant Šalių kaltės (pvz. per nustatytą terminą nepateikti atsakymai, suderinimai, sutikimai, leidimai ar kitokia informacija ar dokumentai, būtini Sutarčiai įgyvendinti); </w:t>
      </w:r>
    </w:p>
    <w:p w14:paraId="7DF23B2F" w14:textId="77777777" w:rsidR="00E346FC" w:rsidRDefault="00C20DAA" w:rsidP="00E346FC">
      <w:pPr>
        <w:spacing w:after="0" w:line="240" w:lineRule="auto"/>
        <w:ind w:firstLine="720"/>
        <w:jc w:val="both"/>
      </w:pPr>
      <w:r>
        <w:t>14</w:t>
      </w:r>
      <w:r w:rsidR="00E346FC">
        <w:t xml:space="preserve">.1.3. būtinybės atlikti gamtosaugos ir (ar) archeologinius tyrinėjimus kurie nebuvo numatyti pirkimo dokumentuose; </w:t>
      </w:r>
    </w:p>
    <w:p w14:paraId="50D5888D" w14:textId="77777777" w:rsidR="00E346FC" w:rsidRDefault="00E725A3" w:rsidP="00E346FC">
      <w:pPr>
        <w:spacing w:after="0" w:line="240" w:lineRule="auto"/>
        <w:ind w:firstLine="720"/>
        <w:jc w:val="both"/>
      </w:pPr>
      <w:r>
        <w:t>1</w:t>
      </w:r>
      <w:r w:rsidR="00C20DAA">
        <w:t>4.</w:t>
      </w:r>
      <w:r w:rsidR="00E346FC">
        <w:t>1</w:t>
      </w:r>
      <w:r w:rsidR="00C20DAA">
        <w:t>.4</w:t>
      </w:r>
      <w:r w:rsidR="00E346FC">
        <w:t xml:space="preserve"> kitų pagrįstų aplinkybių, kurių Šalys negalėjo numatyti sudarydamos Sutartį. </w:t>
      </w:r>
    </w:p>
    <w:p w14:paraId="2AE45EDE" w14:textId="77777777" w:rsidR="00E346FC" w:rsidRDefault="00C20DAA" w:rsidP="00E346FC">
      <w:pPr>
        <w:spacing w:after="0" w:line="240" w:lineRule="auto"/>
        <w:ind w:firstLine="720"/>
        <w:jc w:val="both"/>
      </w:pPr>
      <w:r>
        <w:t>14</w:t>
      </w:r>
      <w:r w:rsidR="00E346FC">
        <w:t xml:space="preserve">.2. Užsakovas turi teisę bet kuriuo metu dėl svarbių priežasčių nurodyti Rangovui stabdyti visų Darbų ar jų dalies vykdymą. Tokio sustabdymo metu visus Darbus arba dalį jų Rangovas savo sąskaita privalo prižiūrėti, sandėliuoti, saugoti nuo sugadinimo, praradimo arba žalos. </w:t>
      </w:r>
    </w:p>
    <w:p w14:paraId="161835BB" w14:textId="77777777" w:rsidR="00E346FC" w:rsidRDefault="00C20DAA" w:rsidP="00E346FC">
      <w:pPr>
        <w:spacing w:after="0" w:line="240" w:lineRule="auto"/>
        <w:ind w:firstLine="720"/>
        <w:jc w:val="both"/>
      </w:pPr>
      <w:r>
        <w:t>14</w:t>
      </w:r>
      <w:r w:rsidR="00E346FC">
        <w:t xml:space="preserve">.3. Jei Darbai stabdomi nesant Rangovo kaltės, Rangovas įgyja teisę į Sutartyje nustatytų terminų pratęsimą. </w:t>
      </w:r>
    </w:p>
    <w:p w14:paraId="39D1FA8F" w14:textId="77777777" w:rsidR="00E346FC" w:rsidRDefault="00C20DAA" w:rsidP="00E346FC">
      <w:pPr>
        <w:spacing w:after="0" w:line="240" w:lineRule="auto"/>
        <w:ind w:firstLine="720"/>
        <w:jc w:val="both"/>
      </w:pPr>
      <w:r>
        <w:t>14</w:t>
      </w:r>
      <w:r w:rsidR="00E346FC">
        <w:t xml:space="preserve">.4. Visų Darbų arba atskirų Darbų etapo vykdymas gali būti stabdomas Rangovo iniciatyva, jei atsiranda aplinkybės, kurių atsiradimo Rangovas iki Sutarties pasirašymo negalėjo kontroliuoti ir protingai numatyti ir dėl kurių Rangovas neturi galimybės vykdyti Darbų. Rangovas, sužinojęs apie tokias aplinkybes, nedelsiant apie tai raštu informuoja Užsakovą ir gavęs Užsakovo sutikimą, stabdo Darbų vykdymą. Pašalinus aplinkybes, dėl kurių nebuvo galimybės vykdyti Darbų, Rangovas nedelsdamas atnaujina Darbų vykdymą. </w:t>
      </w:r>
    </w:p>
    <w:p w14:paraId="47861F8F" w14:textId="77777777" w:rsidR="00E346FC" w:rsidRDefault="00C20DAA" w:rsidP="00E346FC">
      <w:pPr>
        <w:spacing w:after="0" w:line="240" w:lineRule="auto"/>
        <w:ind w:firstLine="720"/>
        <w:jc w:val="both"/>
      </w:pPr>
      <w:r>
        <w:t>14</w:t>
      </w:r>
      <w:r w:rsidR="00E346FC">
        <w:t>.5. Darbų sustabdymo terminas nėra įskaičiuojamas į Darbų atlikimo terminą.</w:t>
      </w:r>
    </w:p>
    <w:p w14:paraId="7F758218" w14:textId="77777777" w:rsidR="00E346FC" w:rsidRDefault="00C20DAA" w:rsidP="00E346FC">
      <w:pPr>
        <w:spacing w:after="0" w:line="240" w:lineRule="auto"/>
        <w:ind w:firstLine="720"/>
        <w:jc w:val="both"/>
      </w:pPr>
      <w:r>
        <w:t>14</w:t>
      </w:r>
      <w:r w:rsidR="00E346FC">
        <w:t xml:space="preserve">.6. Yra stabdomi tik tokie Darbai, kurie negali būti atliekami dėl stabdymo priežastyse numatytų aplinkybių. </w:t>
      </w:r>
    </w:p>
    <w:p w14:paraId="5A0CC80E" w14:textId="77777777" w:rsidR="00E346FC" w:rsidRDefault="00C20DAA" w:rsidP="00E346FC">
      <w:pPr>
        <w:spacing w:after="0" w:line="240" w:lineRule="auto"/>
        <w:ind w:firstLine="720"/>
        <w:jc w:val="both"/>
      </w:pPr>
      <w:r>
        <w:t>14</w:t>
      </w:r>
      <w:r w:rsidR="00E346FC">
        <w:t xml:space="preserve">.7. Darbų atnaujinimas (Darbų sustabdymo pasibaigimas) yra įforminamas Šalių raštišku susitarimu. </w:t>
      </w:r>
    </w:p>
    <w:p w14:paraId="3763AC4F" w14:textId="77777777" w:rsidR="00E346FC" w:rsidRDefault="00C20DAA" w:rsidP="00E346FC">
      <w:pPr>
        <w:spacing w:after="0" w:line="240" w:lineRule="auto"/>
        <w:ind w:firstLine="720"/>
        <w:jc w:val="both"/>
      </w:pPr>
      <w:r>
        <w:t>14</w:t>
      </w:r>
      <w:r w:rsidR="00E346FC">
        <w:t xml:space="preserve">.8. Dėl Darbų sustabdymo Užsakovas neįsipareigoja atlyginti Rangovui jokių išlaidų ar nuostolių (tiesioginių ar netiesioginių). </w:t>
      </w:r>
    </w:p>
    <w:p w14:paraId="05D629C5" w14:textId="77777777" w:rsidR="00E346FC" w:rsidRDefault="00C20DAA" w:rsidP="00E346FC">
      <w:pPr>
        <w:spacing w:after="0" w:line="240" w:lineRule="auto"/>
        <w:ind w:firstLine="720"/>
        <w:jc w:val="both"/>
      </w:pPr>
      <w:r>
        <w:t>14</w:t>
      </w:r>
      <w:r w:rsidR="00E346FC">
        <w:t xml:space="preserve">.9. Rangovas, manydamas, jog yra pagrindas stabdyti Darbus, apie tai nedelsdamas praneša Užsakovui, pranešime nurodydamas, kokiam laikui turi būti stabdomi Darbai, aplinkybes, kurios lėmė poreikį stabdyti Darbus, laikotarpį, kuriam reikės stabdyti Darbus, bei pateikia nurodytą informaciją pagrindžiančius dokumentus. </w:t>
      </w:r>
    </w:p>
    <w:p w14:paraId="040D2098" w14:textId="77777777" w:rsidR="00E346FC" w:rsidRDefault="00C20DAA" w:rsidP="00E346FC">
      <w:pPr>
        <w:spacing w:after="0" w:line="240" w:lineRule="auto"/>
        <w:ind w:firstLine="720"/>
        <w:jc w:val="both"/>
      </w:pPr>
      <w:r>
        <w:t>14</w:t>
      </w:r>
      <w:r w:rsidR="00E346FC">
        <w:t>.10. Užsakovas, gavęs Rangovo pranešimą, per 7 darbo dienas išnagrinėja Rangovo pateiktą informaciją, priima sprendimą dėl Darbų stabdymo ir apie jį raštu praneša Rangovui. Užsakovas, atmesdamas Rangovo prašymą stabdyti Darbus, nurodo atmetimo priežastis. Darbai stabdomi Šalims pasirašant susitarimą dėl Dabų stabdymo, kurio projektą parengia Užsakovas.</w:t>
      </w:r>
    </w:p>
    <w:p w14:paraId="06A81946" w14:textId="77777777" w:rsidR="00E346FC" w:rsidRDefault="00E346FC" w:rsidP="00E346FC">
      <w:pPr>
        <w:spacing w:after="0" w:line="240" w:lineRule="auto"/>
        <w:ind w:firstLine="720"/>
        <w:jc w:val="both"/>
        <w:rPr>
          <w:lang w:eastAsia="ru-RU"/>
        </w:rPr>
      </w:pPr>
    </w:p>
    <w:p w14:paraId="79DE52CA" w14:textId="77777777" w:rsidR="00E346FC" w:rsidRPr="00C445C9" w:rsidRDefault="00C20DAA" w:rsidP="00B70816">
      <w:pPr>
        <w:pBdr>
          <w:top w:val="nil"/>
          <w:left w:val="nil"/>
          <w:bottom w:val="nil"/>
          <w:right w:val="nil"/>
          <w:between w:val="nil"/>
          <w:bar w:val="nil"/>
        </w:pBdr>
        <w:tabs>
          <w:tab w:val="left" w:pos="1701"/>
        </w:tabs>
        <w:suppressAutoHyphens w:val="0"/>
        <w:spacing w:after="0" w:line="240" w:lineRule="auto"/>
        <w:ind w:left="360" w:right="-45"/>
        <w:jc w:val="center"/>
        <w:rPr>
          <w:rFonts w:eastAsia="Times New Roman"/>
          <w:b/>
          <w:caps/>
          <w:szCs w:val="24"/>
          <w:lang w:eastAsia="lt-LT"/>
        </w:rPr>
      </w:pPr>
      <w:r>
        <w:rPr>
          <w:rFonts w:eastAsia="Times New Roman"/>
          <w:b/>
          <w:caps/>
          <w:szCs w:val="24"/>
          <w:lang w:eastAsia="lt-LT"/>
        </w:rPr>
        <w:t>X</w:t>
      </w:r>
      <w:r w:rsidR="00E725A3">
        <w:rPr>
          <w:rFonts w:eastAsia="Times New Roman"/>
          <w:b/>
          <w:caps/>
          <w:szCs w:val="24"/>
          <w:lang w:eastAsia="lt-LT"/>
        </w:rPr>
        <w:t>V</w:t>
      </w:r>
      <w:r w:rsidR="00B70816">
        <w:rPr>
          <w:rFonts w:eastAsia="Times New Roman"/>
          <w:b/>
          <w:caps/>
          <w:szCs w:val="24"/>
          <w:lang w:eastAsia="lt-LT"/>
        </w:rPr>
        <w:t xml:space="preserve">. </w:t>
      </w:r>
      <w:r w:rsidR="00921E30">
        <w:rPr>
          <w:rFonts w:eastAsia="Times New Roman"/>
          <w:b/>
          <w:caps/>
          <w:szCs w:val="24"/>
          <w:lang w:eastAsia="lt-LT"/>
        </w:rPr>
        <w:t xml:space="preserve"> </w:t>
      </w:r>
      <w:r w:rsidR="00E346FC" w:rsidRPr="00C445C9">
        <w:rPr>
          <w:rFonts w:eastAsia="Times New Roman"/>
          <w:b/>
          <w:caps/>
          <w:szCs w:val="24"/>
          <w:lang w:eastAsia="lt-LT"/>
        </w:rPr>
        <w:t xml:space="preserve">ASMENS DUOMENŲ APSAUGA  </w:t>
      </w:r>
    </w:p>
    <w:p w14:paraId="611B10B5" w14:textId="77777777" w:rsidR="00E346FC" w:rsidRPr="00C445C9" w:rsidRDefault="00E346FC" w:rsidP="00E346FC">
      <w:pPr>
        <w:pBdr>
          <w:top w:val="nil"/>
          <w:left w:val="nil"/>
          <w:bottom w:val="nil"/>
          <w:right w:val="nil"/>
          <w:between w:val="nil"/>
          <w:bar w:val="nil"/>
        </w:pBdr>
        <w:tabs>
          <w:tab w:val="left" w:pos="1701"/>
        </w:tabs>
        <w:spacing w:after="0" w:line="240" w:lineRule="auto"/>
        <w:ind w:left="851" w:right="-45"/>
        <w:rPr>
          <w:rFonts w:eastAsia="Times New Roman"/>
          <w:b/>
          <w:caps/>
          <w:szCs w:val="24"/>
          <w:lang w:eastAsia="lt-LT"/>
        </w:rPr>
      </w:pPr>
    </w:p>
    <w:p w14:paraId="665CDD5F" w14:textId="77777777" w:rsidR="00E346FC" w:rsidRPr="00B70816" w:rsidRDefault="00E725A3" w:rsidP="00B70816">
      <w:pPr>
        <w:pBdr>
          <w:top w:val="nil"/>
          <w:left w:val="nil"/>
          <w:bottom w:val="nil"/>
          <w:right w:val="nil"/>
          <w:between w:val="nil"/>
          <w:bar w:val="nil"/>
        </w:pBdr>
        <w:tabs>
          <w:tab w:val="left" w:pos="709"/>
          <w:tab w:val="left" w:pos="1701"/>
        </w:tabs>
        <w:spacing w:after="0" w:line="240" w:lineRule="auto"/>
        <w:ind w:right="-45"/>
        <w:jc w:val="both"/>
        <w:rPr>
          <w:b/>
          <w:caps/>
          <w:szCs w:val="24"/>
          <w:lang w:eastAsia="lt-LT"/>
        </w:rPr>
      </w:pPr>
      <w:r>
        <w:rPr>
          <w:caps/>
          <w:szCs w:val="24"/>
          <w:lang w:eastAsia="lt-LT"/>
        </w:rPr>
        <w:tab/>
      </w:r>
      <w:r w:rsidR="00C20DAA">
        <w:rPr>
          <w:caps/>
          <w:szCs w:val="24"/>
          <w:lang w:eastAsia="lt-LT"/>
        </w:rPr>
        <w:t>15</w:t>
      </w:r>
      <w:r w:rsidR="00B70816">
        <w:rPr>
          <w:caps/>
          <w:szCs w:val="24"/>
          <w:lang w:eastAsia="lt-LT"/>
        </w:rPr>
        <w:t xml:space="preserve">.1. </w:t>
      </w:r>
      <w:r w:rsidR="00E346FC" w:rsidRPr="00B70816">
        <w:rPr>
          <w:b/>
          <w:caps/>
          <w:szCs w:val="24"/>
          <w:lang w:eastAsia="lt-LT"/>
        </w:rPr>
        <w:t>š</w:t>
      </w:r>
      <w:r w:rsidR="00E346FC" w:rsidRPr="00B70816">
        <w:rPr>
          <w:szCs w:val="24"/>
          <w:lang w:eastAsia="lt-LT"/>
        </w:rPr>
        <w:t>alys, sudarydamos Sutartį, patvirtina suprantančios, kad vykdant Sutartį yra tvarkomi asmens duomenys.</w:t>
      </w:r>
    </w:p>
    <w:p w14:paraId="13A57BC0" w14:textId="77777777" w:rsidR="00E346FC" w:rsidRPr="00B70816" w:rsidRDefault="00C20DAA" w:rsidP="00B70816">
      <w:pPr>
        <w:pBdr>
          <w:top w:val="nil"/>
          <w:left w:val="nil"/>
          <w:bottom w:val="nil"/>
          <w:right w:val="nil"/>
          <w:between w:val="nil"/>
          <w:bar w:val="nil"/>
        </w:pBdr>
        <w:tabs>
          <w:tab w:val="left" w:pos="1418"/>
          <w:tab w:val="left" w:pos="1701"/>
        </w:tabs>
        <w:spacing w:after="0" w:line="240" w:lineRule="auto"/>
        <w:ind w:left="851" w:right="-45" w:hanging="142"/>
        <w:jc w:val="both"/>
        <w:rPr>
          <w:b/>
          <w:caps/>
          <w:szCs w:val="24"/>
          <w:lang w:eastAsia="lt-LT"/>
        </w:rPr>
      </w:pPr>
      <w:r>
        <w:rPr>
          <w:szCs w:val="24"/>
          <w:lang w:eastAsia="lt-LT"/>
        </w:rPr>
        <w:lastRenderedPageBreak/>
        <w:t>15</w:t>
      </w:r>
      <w:r w:rsidR="00B70816">
        <w:rPr>
          <w:szCs w:val="24"/>
          <w:lang w:eastAsia="lt-LT"/>
        </w:rPr>
        <w:t xml:space="preserve">.2. </w:t>
      </w:r>
      <w:r w:rsidR="00E346FC" w:rsidRPr="00B70816">
        <w:rPr>
          <w:szCs w:val="24"/>
          <w:lang w:eastAsia="lt-LT"/>
        </w:rPr>
        <w:t>Šalys įsipareigoja:</w:t>
      </w:r>
    </w:p>
    <w:p w14:paraId="4E89405A" w14:textId="77777777" w:rsidR="00B70816" w:rsidRDefault="00E725A3" w:rsidP="00B70816">
      <w:pPr>
        <w:pBdr>
          <w:top w:val="nil"/>
          <w:left w:val="nil"/>
          <w:bottom w:val="nil"/>
          <w:right w:val="nil"/>
          <w:between w:val="nil"/>
          <w:bar w:val="nil"/>
        </w:pBdr>
        <w:tabs>
          <w:tab w:val="num" w:pos="0"/>
          <w:tab w:val="left" w:pos="709"/>
          <w:tab w:val="left" w:pos="1418"/>
          <w:tab w:val="left" w:pos="1701"/>
        </w:tabs>
        <w:spacing w:after="0" w:line="240" w:lineRule="auto"/>
        <w:ind w:right="-45"/>
        <w:jc w:val="both"/>
        <w:rPr>
          <w:b/>
          <w:caps/>
          <w:szCs w:val="24"/>
          <w:lang w:eastAsia="lt-LT"/>
        </w:rPr>
      </w:pPr>
      <w:r>
        <w:rPr>
          <w:szCs w:val="24"/>
          <w:lang w:eastAsia="lt-LT"/>
        </w:rPr>
        <w:tab/>
        <w:t>14</w:t>
      </w:r>
      <w:r w:rsidR="00B70816">
        <w:rPr>
          <w:szCs w:val="24"/>
          <w:lang w:eastAsia="lt-LT"/>
        </w:rPr>
        <w:t xml:space="preserve">.2.1. </w:t>
      </w:r>
      <w:r w:rsidR="00EA4C76">
        <w:rPr>
          <w:szCs w:val="24"/>
          <w:lang w:eastAsia="lt-LT"/>
        </w:rPr>
        <w:t>l</w:t>
      </w:r>
      <w:r w:rsidR="00E346FC" w:rsidRPr="00B70816">
        <w:rPr>
          <w:szCs w:val="24"/>
          <w:lang w:eastAsia="lt-LT"/>
        </w:rPr>
        <w:t>aikytis Asmens duomenų apsaugos įstatymo, Bendrojo duomenų apsaugos reglamento (ES) 2016/679 (toliau - Reglamentas) ir kitų teisės aktų, reglamentuojančių asmens duomenų tvarkymą, reikalavimų;</w:t>
      </w:r>
    </w:p>
    <w:p w14:paraId="0276A11A" w14:textId="77777777" w:rsidR="00B70816" w:rsidRDefault="00B70816" w:rsidP="00B70816">
      <w:pPr>
        <w:pBdr>
          <w:top w:val="nil"/>
          <w:left w:val="nil"/>
          <w:bottom w:val="nil"/>
          <w:right w:val="nil"/>
          <w:between w:val="nil"/>
          <w:bar w:val="nil"/>
        </w:pBdr>
        <w:tabs>
          <w:tab w:val="num" w:pos="0"/>
          <w:tab w:val="num" w:pos="709"/>
          <w:tab w:val="left" w:pos="1418"/>
          <w:tab w:val="left" w:pos="1701"/>
        </w:tabs>
        <w:spacing w:after="0" w:line="240" w:lineRule="auto"/>
        <w:ind w:right="-45"/>
        <w:jc w:val="both"/>
        <w:rPr>
          <w:b/>
          <w:caps/>
          <w:szCs w:val="24"/>
          <w:lang w:eastAsia="lt-LT"/>
        </w:rPr>
      </w:pPr>
      <w:r>
        <w:rPr>
          <w:b/>
          <w:caps/>
          <w:szCs w:val="24"/>
          <w:lang w:eastAsia="lt-LT"/>
        </w:rPr>
        <w:tab/>
      </w:r>
      <w:r w:rsidR="00C20DAA">
        <w:rPr>
          <w:szCs w:val="24"/>
          <w:lang w:eastAsia="lt-LT"/>
        </w:rPr>
        <w:t>15</w:t>
      </w:r>
      <w:r>
        <w:rPr>
          <w:szCs w:val="24"/>
          <w:lang w:eastAsia="lt-LT"/>
        </w:rPr>
        <w:t xml:space="preserve">.2.2. </w:t>
      </w:r>
      <w:r w:rsidR="00E346FC" w:rsidRPr="00B70816">
        <w:rPr>
          <w:szCs w:val="24"/>
          <w:lang w:eastAsia="lt-LT"/>
        </w:rPr>
        <w:t>bendradarbiaujant tarpusavyje ir pagal galimybes suteikti viena kitai pagalbą, kad kita Šalis galėtų laikytis savo įsipareigojimų pagal asmens duomenų apsaugą reglamentuojančius teisės aktus</w:t>
      </w:r>
    </w:p>
    <w:p w14:paraId="1C0F2535" w14:textId="77777777" w:rsidR="00B70816" w:rsidRDefault="00B70816" w:rsidP="00B70816">
      <w:pPr>
        <w:pBdr>
          <w:top w:val="nil"/>
          <w:left w:val="nil"/>
          <w:bottom w:val="nil"/>
          <w:right w:val="nil"/>
          <w:between w:val="nil"/>
          <w:bar w:val="nil"/>
        </w:pBdr>
        <w:tabs>
          <w:tab w:val="num" w:pos="0"/>
          <w:tab w:val="num" w:pos="709"/>
          <w:tab w:val="left" w:pos="1418"/>
          <w:tab w:val="left" w:pos="1701"/>
        </w:tabs>
        <w:spacing w:after="0" w:line="240" w:lineRule="auto"/>
        <w:ind w:right="-45"/>
        <w:jc w:val="both"/>
        <w:rPr>
          <w:b/>
          <w:caps/>
          <w:szCs w:val="24"/>
          <w:lang w:eastAsia="lt-LT"/>
        </w:rPr>
      </w:pPr>
      <w:r>
        <w:rPr>
          <w:b/>
          <w:caps/>
          <w:szCs w:val="24"/>
          <w:lang w:eastAsia="lt-LT"/>
        </w:rPr>
        <w:tab/>
      </w:r>
      <w:r w:rsidR="00C20DAA">
        <w:rPr>
          <w:szCs w:val="24"/>
          <w:lang w:eastAsia="lt-LT"/>
        </w:rPr>
        <w:t>15</w:t>
      </w:r>
      <w:r>
        <w:rPr>
          <w:szCs w:val="24"/>
          <w:lang w:eastAsia="lt-LT"/>
        </w:rPr>
        <w:t xml:space="preserve">.2.3. </w:t>
      </w:r>
      <w:r w:rsidR="00E346FC" w:rsidRPr="00B70816">
        <w:rPr>
          <w:szCs w:val="24"/>
          <w:lang w:eastAsia="lt-LT"/>
        </w:rPr>
        <w:t>užtikrinti galimybes duomenų subjektams naudotis savo teisėmis pagal Reglamentą;</w:t>
      </w:r>
    </w:p>
    <w:p w14:paraId="0C133608" w14:textId="77777777" w:rsidR="00B70816" w:rsidRDefault="00B70816" w:rsidP="00B70816">
      <w:pPr>
        <w:pBdr>
          <w:top w:val="nil"/>
          <w:left w:val="nil"/>
          <w:bottom w:val="nil"/>
          <w:right w:val="nil"/>
          <w:between w:val="nil"/>
          <w:bar w:val="nil"/>
        </w:pBdr>
        <w:tabs>
          <w:tab w:val="num" w:pos="0"/>
          <w:tab w:val="num" w:pos="709"/>
          <w:tab w:val="left" w:pos="1418"/>
          <w:tab w:val="left" w:pos="1701"/>
        </w:tabs>
        <w:spacing w:after="0" w:line="240" w:lineRule="auto"/>
        <w:ind w:right="-45"/>
        <w:jc w:val="both"/>
        <w:rPr>
          <w:b/>
          <w:caps/>
          <w:szCs w:val="24"/>
          <w:lang w:eastAsia="lt-LT"/>
        </w:rPr>
      </w:pPr>
      <w:r>
        <w:rPr>
          <w:b/>
          <w:caps/>
          <w:szCs w:val="24"/>
          <w:lang w:eastAsia="lt-LT"/>
        </w:rPr>
        <w:tab/>
      </w:r>
      <w:r w:rsidR="00C20DAA">
        <w:rPr>
          <w:szCs w:val="24"/>
          <w:lang w:eastAsia="lt-LT"/>
        </w:rPr>
        <w:t>15</w:t>
      </w:r>
      <w:r>
        <w:rPr>
          <w:szCs w:val="24"/>
          <w:lang w:eastAsia="lt-LT"/>
        </w:rPr>
        <w:t xml:space="preserve">.2.4. </w:t>
      </w:r>
      <w:r w:rsidR="00E346FC" w:rsidRPr="00B70816">
        <w:rPr>
          <w:szCs w:val="24"/>
          <w:lang w:eastAsia="lt-LT"/>
        </w:rPr>
        <w:t>raštu informuoti viena kitą apie kiekvieną asmens duomenų saugumo pažeidimą, susijusį su kitos Šalies perduotais asmens duomenimis;</w:t>
      </w:r>
    </w:p>
    <w:p w14:paraId="580C77DE" w14:textId="77777777" w:rsidR="00E346FC" w:rsidRPr="00B70816" w:rsidRDefault="00B70816" w:rsidP="00B70816">
      <w:pPr>
        <w:pBdr>
          <w:top w:val="nil"/>
          <w:left w:val="nil"/>
          <w:bottom w:val="nil"/>
          <w:right w:val="nil"/>
          <w:between w:val="nil"/>
          <w:bar w:val="nil"/>
        </w:pBdr>
        <w:tabs>
          <w:tab w:val="num" w:pos="0"/>
          <w:tab w:val="num" w:pos="709"/>
          <w:tab w:val="left" w:pos="1418"/>
          <w:tab w:val="left" w:pos="1701"/>
        </w:tabs>
        <w:spacing w:after="0" w:line="240" w:lineRule="auto"/>
        <w:ind w:right="-45"/>
        <w:jc w:val="both"/>
        <w:rPr>
          <w:b/>
          <w:caps/>
          <w:szCs w:val="24"/>
          <w:lang w:eastAsia="lt-LT"/>
        </w:rPr>
      </w:pPr>
      <w:r>
        <w:rPr>
          <w:b/>
          <w:caps/>
          <w:szCs w:val="24"/>
          <w:lang w:eastAsia="lt-LT"/>
        </w:rPr>
        <w:tab/>
      </w:r>
      <w:r w:rsidR="00C20DAA">
        <w:rPr>
          <w:szCs w:val="24"/>
          <w:lang w:eastAsia="lt-LT"/>
        </w:rPr>
        <w:t>15</w:t>
      </w:r>
      <w:r>
        <w:rPr>
          <w:szCs w:val="24"/>
          <w:lang w:eastAsia="lt-LT"/>
        </w:rPr>
        <w:t xml:space="preserve">.2.5. </w:t>
      </w:r>
      <w:r w:rsidR="00E346FC" w:rsidRPr="00B70816">
        <w:rPr>
          <w:szCs w:val="24"/>
          <w:lang w:eastAsia="lt-LT"/>
        </w:rPr>
        <w:t>tinkamai informuoti fizinius asmenis (savo darbuotojus), kuriuos Šalys pasitelkia Sutarčiai vykdyti, kad jų asmens duomenys gali būti perduoti kitai Šaliai ir gali būti Šalių tvarkomi Sutarties vykdymo tikslais Fiziniai asmenys turi būti informuojami  iki jų pasitelkimo Sutarties vykdymui arba iki jų duomenų perdavimo kitai Šaliai momento.</w:t>
      </w:r>
    </w:p>
    <w:p w14:paraId="715F6ADE" w14:textId="77777777" w:rsidR="00E346FC" w:rsidRPr="00C445C9" w:rsidRDefault="00E346FC" w:rsidP="00B70816">
      <w:pPr>
        <w:spacing w:after="0" w:line="240" w:lineRule="auto"/>
        <w:jc w:val="both"/>
        <w:rPr>
          <w:lang w:eastAsia="ru-RU"/>
        </w:rPr>
      </w:pPr>
    </w:p>
    <w:p w14:paraId="7493C413" w14:textId="77777777" w:rsidR="00E346FC" w:rsidRDefault="00E725A3" w:rsidP="00E346FC">
      <w:pPr>
        <w:spacing w:after="0" w:line="240" w:lineRule="auto"/>
        <w:ind w:firstLine="720"/>
        <w:jc w:val="center"/>
        <w:rPr>
          <w:b/>
          <w:lang w:eastAsia="ru-RU"/>
        </w:rPr>
      </w:pPr>
      <w:r>
        <w:rPr>
          <w:b/>
          <w:lang w:eastAsia="ru-RU"/>
        </w:rPr>
        <w:t>X</w:t>
      </w:r>
      <w:r w:rsidR="00B70816">
        <w:rPr>
          <w:b/>
          <w:lang w:eastAsia="ru-RU"/>
        </w:rPr>
        <w:t>V</w:t>
      </w:r>
      <w:r w:rsidR="00C20DAA">
        <w:rPr>
          <w:b/>
          <w:lang w:eastAsia="ru-RU"/>
        </w:rPr>
        <w:t>I</w:t>
      </w:r>
      <w:r w:rsidR="00E346FC" w:rsidRPr="00187BE7">
        <w:rPr>
          <w:b/>
          <w:lang w:eastAsia="ru-RU"/>
        </w:rPr>
        <w:t>.</w:t>
      </w:r>
      <w:r w:rsidR="00921E30">
        <w:rPr>
          <w:b/>
          <w:lang w:eastAsia="ru-RU"/>
        </w:rPr>
        <w:t xml:space="preserve"> </w:t>
      </w:r>
      <w:r w:rsidR="00E346FC" w:rsidRPr="00187BE7">
        <w:rPr>
          <w:b/>
          <w:lang w:eastAsia="ru-RU"/>
        </w:rPr>
        <w:t>KITOS SUTARTIES SĄLYGOS</w:t>
      </w:r>
    </w:p>
    <w:p w14:paraId="63D60FCD" w14:textId="77777777" w:rsidR="00E725A3" w:rsidRPr="00187BE7" w:rsidRDefault="00E725A3" w:rsidP="00E346FC">
      <w:pPr>
        <w:spacing w:after="0" w:line="240" w:lineRule="auto"/>
        <w:ind w:firstLine="720"/>
        <w:jc w:val="center"/>
        <w:rPr>
          <w:b/>
          <w:lang w:eastAsia="ru-RU"/>
        </w:rPr>
      </w:pPr>
    </w:p>
    <w:p w14:paraId="262911E7" w14:textId="77777777" w:rsidR="00E346FC" w:rsidRDefault="00C20DAA" w:rsidP="00E346FC">
      <w:pPr>
        <w:spacing w:after="0" w:line="240" w:lineRule="auto"/>
        <w:ind w:firstLine="720"/>
        <w:jc w:val="both"/>
        <w:rPr>
          <w:lang w:eastAsia="ru-RU"/>
        </w:rPr>
      </w:pPr>
      <w:r>
        <w:t>16</w:t>
      </w:r>
      <w:r w:rsidR="000F3A70">
        <w:t>.</w:t>
      </w:r>
      <w:r w:rsidR="009567DA">
        <w:t>1</w:t>
      </w:r>
      <w:r w:rsidR="00E346FC" w:rsidRPr="00187BE7">
        <w:t xml:space="preserve">. Rangovo </w:t>
      </w:r>
      <w:r w:rsidR="00E346FC" w:rsidRPr="00187BE7">
        <w:rPr>
          <w:lang w:eastAsia="ru-RU"/>
        </w:rPr>
        <w:t>gauta informacija vykdant šią Sutartį yra konfidenciali ir negali būti perduota tretiesiems asmenims be kitos Šalies raštiško sutikimo, išskyrus teisės aktų numatytus atvejus. Visus iš Užsakovo gautus Sutarčiai vykdyti reikalingus dokumentus, Rangovas Sutarties vykdymo pabaigoje grąžina Užsakovui.</w:t>
      </w:r>
    </w:p>
    <w:p w14:paraId="10A08A03" w14:textId="77777777" w:rsidR="00E346FC" w:rsidRPr="00187BE7" w:rsidRDefault="00C20DAA" w:rsidP="00E346FC">
      <w:pPr>
        <w:spacing w:after="0" w:line="240" w:lineRule="auto"/>
        <w:ind w:firstLine="720"/>
        <w:jc w:val="both"/>
        <w:rPr>
          <w:lang w:eastAsia="ru-RU"/>
        </w:rPr>
      </w:pPr>
      <w:r>
        <w:rPr>
          <w:lang w:eastAsia="ru-RU"/>
        </w:rPr>
        <w:t>16</w:t>
      </w:r>
      <w:r w:rsidR="008850C6">
        <w:rPr>
          <w:lang w:eastAsia="ru-RU"/>
        </w:rPr>
        <w:t>.</w:t>
      </w:r>
      <w:r w:rsidR="009567DA">
        <w:rPr>
          <w:lang w:eastAsia="ru-RU"/>
        </w:rPr>
        <w:t>2</w:t>
      </w:r>
      <w:r w:rsidR="008850C6">
        <w:rPr>
          <w:lang w:eastAsia="ru-RU"/>
        </w:rPr>
        <w:t>.</w:t>
      </w:r>
      <w:r w:rsidR="00E346FC" w:rsidRPr="00187BE7">
        <w:rPr>
          <w:lang w:eastAsia="ru-RU"/>
        </w:rPr>
        <w:t xml:space="preserve"> Visus kitus Šalių tarpusavio santykius, kylančius iš šios Sutarties ir neaptartas jos sąlygas, reglamentuoja Lietuvos Respublikos civilinis kodeksas ir kiti Lietuvos Respublikos teisės aktai.</w:t>
      </w:r>
    </w:p>
    <w:p w14:paraId="79DB4651" w14:textId="0BA1543B" w:rsidR="00E346FC" w:rsidRPr="00E67C72" w:rsidRDefault="00C20DAA" w:rsidP="008850C6">
      <w:pPr>
        <w:keepNext/>
        <w:widowControl w:val="0"/>
        <w:autoSpaceDE w:val="0"/>
        <w:autoSpaceDN w:val="0"/>
        <w:adjustRightInd w:val="0"/>
        <w:spacing w:after="0" w:line="240" w:lineRule="auto"/>
        <w:ind w:firstLine="720"/>
        <w:jc w:val="both"/>
        <w:outlineLvl w:val="0"/>
        <w:rPr>
          <w:bCs/>
          <w:color w:val="000000" w:themeColor="text1"/>
        </w:rPr>
      </w:pPr>
      <w:r>
        <w:rPr>
          <w:bCs/>
        </w:rPr>
        <w:t>16</w:t>
      </w:r>
      <w:r w:rsidR="008850C6">
        <w:rPr>
          <w:bCs/>
        </w:rPr>
        <w:t>.</w:t>
      </w:r>
      <w:r w:rsidR="009567DA">
        <w:rPr>
          <w:bCs/>
        </w:rPr>
        <w:t>3</w:t>
      </w:r>
      <w:r w:rsidR="008850C6">
        <w:rPr>
          <w:bCs/>
        </w:rPr>
        <w:t>.</w:t>
      </w:r>
      <w:r w:rsidR="008850C6" w:rsidRPr="00E67C72">
        <w:rPr>
          <w:bCs/>
          <w:color w:val="000000" w:themeColor="text1"/>
        </w:rPr>
        <w:t xml:space="preserve"> </w:t>
      </w:r>
      <w:r w:rsidR="00E346FC" w:rsidRPr="00E67C72">
        <w:rPr>
          <w:bCs/>
          <w:color w:val="000000" w:themeColor="text1"/>
        </w:rPr>
        <w:t xml:space="preserve">Užsakovo už Sutarties vykdymą paskirtas asmuo – </w:t>
      </w:r>
      <w:r w:rsidR="00E34668">
        <w:rPr>
          <w:bCs/>
          <w:color w:val="000000" w:themeColor="text1"/>
        </w:rPr>
        <w:t>___________</w:t>
      </w:r>
    </w:p>
    <w:p w14:paraId="6C25783A" w14:textId="1998E41E" w:rsidR="00E346FC" w:rsidRPr="00E67C72" w:rsidRDefault="00C20DAA" w:rsidP="00E346FC">
      <w:pPr>
        <w:keepNext/>
        <w:widowControl w:val="0"/>
        <w:autoSpaceDE w:val="0"/>
        <w:autoSpaceDN w:val="0"/>
        <w:adjustRightInd w:val="0"/>
        <w:spacing w:after="0" w:line="240" w:lineRule="auto"/>
        <w:ind w:firstLine="720"/>
        <w:jc w:val="both"/>
        <w:outlineLvl w:val="0"/>
        <w:rPr>
          <w:bCs/>
          <w:color w:val="000000" w:themeColor="text1"/>
        </w:rPr>
      </w:pPr>
      <w:r w:rsidRPr="00E67C72">
        <w:rPr>
          <w:bCs/>
          <w:color w:val="000000" w:themeColor="text1"/>
        </w:rPr>
        <w:t>16</w:t>
      </w:r>
      <w:r w:rsidR="008850C6" w:rsidRPr="00E67C72">
        <w:rPr>
          <w:bCs/>
          <w:color w:val="000000" w:themeColor="text1"/>
        </w:rPr>
        <w:t>.</w:t>
      </w:r>
      <w:r w:rsidR="009567DA" w:rsidRPr="00E67C72">
        <w:rPr>
          <w:bCs/>
          <w:color w:val="000000" w:themeColor="text1"/>
        </w:rPr>
        <w:t>4</w:t>
      </w:r>
      <w:r w:rsidR="008850C6" w:rsidRPr="00E67C72">
        <w:rPr>
          <w:bCs/>
          <w:color w:val="000000" w:themeColor="text1"/>
        </w:rPr>
        <w:t xml:space="preserve">. </w:t>
      </w:r>
      <w:r w:rsidR="00E346FC" w:rsidRPr="00E67C72">
        <w:rPr>
          <w:bCs/>
          <w:color w:val="000000" w:themeColor="text1"/>
        </w:rPr>
        <w:t xml:space="preserve"> Užsakovo už Sutarties paviešinimą Viešųjų pirkimų įstatymo nustatyta tvarka atsakingas asmuo –</w:t>
      </w:r>
      <w:r w:rsidR="00FA6F06" w:rsidRPr="00E67C72">
        <w:rPr>
          <w:bCs/>
          <w:color w:val="000000" w:themeColor="text1"/>
        </w:rPr>
        <w:t xml:space="preserve"> </w:t>
      </w:r>
      <w:r w:rsidR="00E34668">
        <w:rPr>
          <w:bCs/>
          <w:color w:val="000000" w:themeColor="text1"/>
        </w:rPr>
        <w:t>_______________________</w:t>
      </w:r>
    </w:p>
    <w:p w14:paraId="74822B00" w14:textId="30DD8082" w:rsidR="00E346FC" w:rsidRPr="00801D98" w:rsidRDefault="00C20DAA" w:rsidP="00E346FC">
      <w:pPr>
        <w:spacing w:after="0" w:line="240" w:lineRule="auto"/>
        <w:ind w:firstLine="720"/>
        <w:jc w:val="both"/>
        <w:rPr>
          <w:color w:val="FF0000"/>
          <w:lang w:eastAsia="ru-RU"/>
        </w:rPr>
      </w:pPr>
      <w:r>
        <w:rPr>
          <w:lang w:eastAsia="ru-RU"/>
        </w:rPr>
        <w:t>16</w:t>
      </w:r>
      <w:r w:rsidR="009567DA">
        <w:rPr>
          <w:lang w:eastAsia="ru-RU"/>
        </w:rPr>
        <w:t>.5</w:t>
      </w:r>
      <w:r w:rsidR="00E346FC" w:rsidRPr="00187BE7">
        <w:rPr>
          <w:lang w:eastAsia="ru-RU"/>
        </w:rPr>
        <w:t xml:space="preserve">. Rangovas paskirtas kontaktinis </w:t>
      </w:r>
      <w:r w:rsidR="00E67C72" w:rsidRPr="00E67C72">
        <w:rPr>
          <w:color w:val="000000" w:themeColor="text1"/>
          <w:lang w:eastAsia="ru-RU"/>
        </w:rPr>
        <w:t xml:space="preserve">asmuo </w:t>
      </w:r>
      <w:r w:rsidR="00801D98">
        <w:rPr>
          <w:color w:val="000000" w:themeColor="text1"/>
          <w:lang w:eastAsia="ru-RU"/>
        </w:rPr>
        <w:t>–</w:t>
      </w:r>
      <w:r w:rsidR="00E67C72" w:rsidRPr="00E67C72">
        <w:rPr>
          <w:color w:val="000000" w:themeColor="text1"/>
          <w:lang w:eastAsia="ru-RU"/>
        </w:rPr>
        <w:t xml:space="preserve"> </w:t>
      </w:r>
      <w:r w:rsidR="00801D98">
        <w:rPr>
          <w:color w:val="000000" w:themeColor="text1"/>
          <w:lang w:eastAsia="ru-RU"/>
        </w:rPr>
        <w:t>Vytautas Rūkas</w:t>
      </w:r>
    </w:p>
    <w:p w14:paraId="40B8886D" w14:textId="77777777" w:rsidR="00E346FC" w:rsidRPr="00187BE7" w:rsidRDefault="00C20DAA" w:rsidP="00E346FC">
      <w:pPr>
        <w:spacing w:after="0" w:line="240" w:lineRule="auto"/>
        <w:ind w:firstLine="720"/>
        <w:jc w:val="both"/>
        <w:rPr>
          <w:bCs/>
        </w:rPr>
      </w:pPr>
      <w:r>
        <w:rPr>
          <w:bCs/>
        </w:rPr>
        <w:t>16</w:t>
      </w:r>
      <w:r w:rsidR="009567DA">
        <w:rPr>
          <w:bCs/>
        </w:rPr>
        <w:t>.6</w:t>
      </w:r>
      <w:r w:rsidR="00E346FC">
        <w:rPr>
          <w:bCs/>
        </w:rPr>
        <w:t>. Ši S</w:t>
      </w:r>
      <w:r w:rsidR="00E346FC" w:rsidRPr="00187BE7">
        <w:rPr>
          <w:bCs/>
        </w:rPr>
        <w:t>utartis sudaryta lietuvių kalba, 2 (dviem) egzemplioriais, turinčiais vienodą teisinę galią – po vieną kiekvienai Šaliai.</w:t>
      </w:r>
    </w:p>
    <w:p w14:paraId="025686F5" w14:textId="77777777" w:rsidR="00E346FC" w:rsidRDefault="00C20DAA" w:rsidP="00E346FC">
      <w:pPr>
        <w:spacing w:after="0" w:line="240" w:lineRule="auto"/>
        <w:ind w:firstLine="720"/>
        <w:contextualSpacing/>
        <w:jc w:val="both"/>
      </w:pPr>
      <w:r>
        <w:t>16</w:t>
      </w:r>
      <w:r w:rsidR="009567DA">
        <w:t>.7</w:t>
      </w:r>
      <w:r w:rsidR="00E346FC">
        <w:t xml:space="preserve">. </w:t>
      </w:r>
      <w:r w:rsidR="008850C6">
        <w:t>Sutartis turi</w:t>
      </w:r>
      <w:r w:rsidR="006A4A20">
        <w:t xml:space="preserve"> </w:t>
      </w:r>
      <w:r w:rsidR="00E346FC">
        <w:t>priedus, kurie yra neatskiriamos</w:t>
      </w:r>
      <w:r w:rsidR="00E346FC" w:rsidRPr="00EC7480">
        <w:t xml:space="preserve"> Sutarties</w:t>
      </w:r>
      <w:r w:rsidR="00E346FC">
        <w:t xml:space="preserve"> daly</w:t>
      </w:r>
      <w:r w:rsidR="00E346FC" w:rsidRPr="00EC7480">
        <w:t>s</w:t>
      </w:r>
      <w:r w:rsidR="00E346FC">
        <w:t>:</w:t>
      </w:r>
    </w:p>
    <w:p w14:paraId="4C8411D0" w14:textId="1B7C70BF" w:rsidR="00E346FC" w:rsidRPr="008850C6" w:rsidRDefault="00E346FC" w:rsidP="00E346FC">
      <w:pPr>
        <w:spacing w:after="0" w:line="240" w:lineRule="auto"/>
        <w:ind w:firstLine="720"/>
        <w:jc w:val="both"/>
        <w:rPr>
          <w:color w:val="FF0000"/>
        </w:rPr>
      </w:pPr>
      <w:r>
        <w:t>1</w:t>
      </w:r>
      <w:r w:rsidR="00C20DAA">
        <w:t>6</w:t>
      </w:r>
      <w:r>
        <w:t>.</w:t>
      </w:r>
      <w:r w:rsidR="009567DA">
        <w:t>7</w:t>
      </w:r>
      <w:r>
        <w:t>.1</w:t>
      </w:r>
      <w:r w:rsidR="00DE10FF">
        <w:t>. sąmata-pasiūlymas</w:t>
      </w:r>
      <w:r w:rsidRPr="00175EB4">
        <w:t>, Sutarties 1 priedas;</w:t>
      </w:r>
    </w:p>
    <w:p w14:paraId="43E8DB2F" w14:textId="2CDFB798" w:rsidR="00E346FC" w:rsidRPr="00175EB4" w:rsidRDefault="00C20DAA" w:rsidP="00E346FC">
      <w:pPr>
        <w:spacing w:after="0" w:line="240" w:lineRule="auto"/>
        <w:ind w:firstLine="720"/>
        <w:jc w:val="both"/>
      </w:pPr>
      <w:r>
        <w:t>16</w:t>
      </w:r>
      <w:r w:rsidR="009567DA">
        <w:t>.7</w:t>
      </w:r>
      <w:r w:rsidR="00033467">
        <w:t xml:space="preserve">.3. </w:t>
      </w:r>
      <w:r w:rsidR="00175EB4">
        <w:t>Atliktų darbų p</w:t>
      </w:r>
      <w:r w:rsidR="00175EB4" w:rsidRPr="00175EB4">
        <w:t>erdavimo-priėmimo aktas</w:t>
      </w:r>
      <w:r w:rsidR="00E346FC" w:rsidRPr="00175EB4">
        <w:t xml:space="preserve">, Sutarties </w:t>
      </w:r>
      <w:r w:rsidR="00DE10FF">
        <w:t>2</w:t>
      </w:r>
      <w:r w:rsidR="00E346FC" w:rsidRPr="00175EB4">
        <w:t xml:space="preserve"> priedas</w:t>
      </w:r>
      <w:r w:rsidR="00033467">
        <w:t>;</w:t>
      </w:r>
    </w:p>
    <w:p w14:paraId="036BFBB7" w14:textId="77777777" w:rsidR="00E346FC" w:rsidRPr="00175EB4" w:rsidRDefault="00E346FC" w:rsidP="00E346FC">
      <w:pPr>
        <w:tabs>
          <w:tab w:val="right" w:pos="8364"/>
        </w:tabs>
        <w:spacing w:after="0" w:line="240" w:lineRule="auto"/>
        <w:ind w:firstLine="720"/>
        <w:jc w:val="both"/>
        <w:rPr>
          <w:szCs w:val="24"/>
        </w:rPr>
      </w:pPr>
      <w:r w:rsidRPr="00175EB4">
        <w:rPr>
          <w:szCs w:val="24"/>
        </w:rPr>
        <w:t>Patvirtindamos tai, kas išdėstyta, Šalys šią Sutartį perskaitė, suprato jos turinį, pasekmes ir tai paliudydamos bei niekieno neverčiamos pasirašė šią Sutartį nurodytą dieną dviem egzemplioriais lietuvių kalba, kurių kiekvienas turi vienodą juridinę galią. Sutarties Šalys turi po vieną šios Sutarties egzempliorių.</w:t>
      </w:r>
    </w:p>
    <w:p w14:paraId="60A456BF" w14:textId="77777777" w:rsidR="00E346FC" w:rsidRPr="00175EB4" w:rsidRDefault="00E346FC" w:rsidP="00E346FC">
      <w:pPr>
        <w:spacing w:after="0" w:line="240" w:lineRule="auto"/>
        <w:ind w:firstLine="720"/>
        <w:jc w:val="both"/>
      </w:pPr>
    </w:p>
    <w:p w14:paraId="1BA0D13A" w14:textId="77777777" w:rsidR="00E346FC" w:rsidRDefault="000F3A70" w:rsidP="00E346FC">
      <w:pPr>
        <w:spacing w:after="0" w:line="240" w:lineRule="auto"/>
        <w:ind w:firstLine="567"/>
        <w:jc w:val="center"/>
        <w:rPr>
          <w:b/>
          <w:lang w:eastAsia="ru-RU"/>
        </w:rPr>
      </w:pPr>
      <w:r>
        <w:rPr>
          <w:b/>
          <w:lang w:eastAsia="ru-RU"/>
        </w:rPr>
        <w:t>XV</w:t>
      </w:r>
      <w:r w:rsidR="00E346FC" w:rsidRPr="00187BE7">
        <w:rPr>
          <w:b/>
          <w:lang w:eastAsia="ru-RU"/>
        </w:rPr>
        <w:t>.</w:t>
      </w:r>
      <w:r w:rsidR="00921E30">
        <w:rPr>
          <w:b/>
          <w:lang w:eastAsia="ru-RU"/>
        </w:rPr>
        <w:t xml:space="preserve"> </w:t>
      </w:r>
      <w:r w:rsidR="00E346FC">
        <w:rPr>
          <w:b/>
          <w:lang w:eastAsia="ru-RU"/>
        </w:rPr>
        <w:t>ŠALIŲ REKVIZITAI</w:t>
      </w:r>
    </w:p>
    <w:p w14:paraId="038770DF" w14:textId="77777777" w:rsidR="000F3A70" w:rsidRDefault="000F3A70" w:rsidP="00E346FC">
      <w:pPr>
        <w:spacing w:after="0" w:line="240" w:lineRule="auto"/>
        <w:ind w:firstLine="567"/>
        <w:jc w:val="center"/>
        <w:rPr>
          <w:b/>
          <w:lang w:eastAsia="ru-RU"/>
        </w:rPr>
      </w:pPr>
    </w:p>
    <w:tbl>
      <w:tblPr>
        <w:tblW w:w="0" w:type="auto"/>
        <w:tblLayout w:type="fixed"/>
        <w:tblLook w:val="0000" w:firstRow="0" w:lastRow="0" w:firstColumn="0" w:lastColumn="0" w:noHBand="0" w:noVBand="0"/>
      </w:tblPr>
      <w:tblGrid>
        <w:gridCol w:w="4898"/>
        <w:gridCol w:w="4708"/>
      </w:tblGrid>
      <w:tr w:rsidR="00E346FC" w:rsidRPr="00040AA6" w14:paraId="00280123" w14:textId="77777777" w:rsidTr="00D64B86">
        <w:tc>
          <w:tcPr>
            <w:tcW w:w="4898" w:type="dxa"/>
            <w:shd w:val="clear" w:color="auto" w:fill="auto"/>
          </w:tcPr>
          <w:p w14:paraId="7E01C378" w14:textId="77777777" w:rsidR="00E346FC" w:rsidRPr="00040AA6" w:rsidRDefault="00E346FC" w:rsidP="00D64B86">
            <w:pPr>
              <w:tabs>
                <w:tab w:val="left" w:pos="422"/>
              </w:tabs>
              <w:snapToGrid w:val="0"/>
              <w:spacing w:after="0" w:line="240" w:lineRule="auto"/>
              <w:jc w:val="both"/>
              <w:rPr>
                <w:szCs w:val="24"/>
              </w:rPr>
            </w:pPr>
            <w:r w:rsidRPr="00040AA6">
              <w:rPr>
                <w:b/>
                <w:bCs/>
                <w:smallCaps/>
                <w:szCs w:val="24"/>
              </w:rPr>
              <w:t>Užsakovas</w:t>
            </w:r>
            <w:r w:rsidR="00531D70">
              <w:rPr>
                <w:b/>
                <w:bCs/>
                <w:smallCaps/>
                <w:szCs w:val="24"/>
              </w:rPr>
              <w:t>:</w:t>
            </w:r>
          </w:p>
          <w:p w14:paraId="24B4D618" w14:textId="5907725A" w:rsidR="00E346FC" w:rsidRPr="003713E3" w:rsidRDefault="008850C6" w:rsidP="00D64B86">
            <w:pPr>
              <w:tabs>
                <w:tab w:val="left" w:pos="422"/>
              </w:tabs>
              <w:spacing w:after="0" w:line="240" w:lineRule="auto"/>
              <w:rPr>
                <w:b/>
                <w:szCs w:val="24"/>
              </w:rPr>
            </w:pPr>
            <w:r>
              <w:rPr>
                <w:b/>
                <w:szCs w:val="24"/>
              </w:rPr>
              <w:t>VšĮ Elektrėnų profesinio mokymo centras</w:t>
            </w:r>
            <w:r w:rsidR="00801D98">
              <w:rPr>
                <w:b/>
                <w:szCs w:val="24"/>
              </w:rPr>
              <w:t xml:space="preserve">         </w:t>
            </w:r>
          </w:p>
          <w:p w14:paraId="0D92A2C1" w14:textId="77777777" w:rsidR="00E346FC" w:rsidRPr="00040AA6" w:rsidRDefault="00E346FC" w:rsidP="00D64B86">
            <w:pPr>
              <w:tabs>
                <w:tab w:val="left" w:pos="422"/>
              </w:tabs>
              <w:spacing w:after="0" w:line="240" w:lineRule="auto"/>
              <w:rPr>
                <w:szCs w:val="24"/>
              </w:rPr>
            </w:pPr>
          </w:p>
          <w:p w14:paraId="6CB47D40" w14:textId="5B4A3024" w:rsidR="00E346FC" w:rsidRPr="00FA6F06" w:rsidRDefault="00E346FC" w:rsidP="00D64B86">
            <w:pPr>
              <w:tabs>
                <w:tab w:val="left" w:pos="422"/>
              </w:tabs>
              <w:spacing w:after="0" w:line="240" w:lineRule="auto"/>
              <w:rPr>
                <w:bCs/>
                <w:kern w:val="24"/>
                <w:szCs w:val="24"/>
              </w:rPr>
            </w:pPr>
          </w:p>
        </w:tc>
        <w:tc>
          <w:tcPr>
            <w:tcW w:w="4708" w:type="dxa"/>
            <w:shd w:val="clear" w:color="auto" w:fill="auto"/>
          </w:tcPr>
          <w:p w14:paraId="633601CD" w14:textId="77777777" w:rsidR="00E346FC" w:rsidRDefault="00E346FC" w:rsidP="00D64B86">
            <w:pPr>
              <w:tabs>
                <w:tab w:val="left" w:pos="422"/>
              </w:tabs>
              <w:snapToGrid w:val="0"/>
              <w:spacing w:after="0" w:line="240" w:lineRule="auto"/>
              <w:rPr>
                <w:b/>
                <w:smallCaps/>
                <w:color w:val="000000" w:themeColor="text1"/>
                <w:szCs w:val="24"/>
              </w:rPr>
            </w:pPr>
            <w:r w:rsidRPr="005B1223">
              <w:rPr>
                <w:b/>
                <w:bCs/>
                <w:smallCaps/>
                <w:color w:val="000000" w:themeColor="text1"/>
                <w:szCs w:val="24"/>
              </w:rPr>
              <w:t>Rangova</w:t>
            </w:r>
            <w:r w:rsidRPr="005B1223">
              <w:rPr>
                <w:b/>
                <w:smallCaps/>
                <w:color w:val="000000" w:themeColor="text1"/>
                <w:szCs w:val="24"/>
              </w:rPr>
              <w:t>s</w:t>
            </w:r>
            <w:r w:rsidR="00531D70" w:rsidRPr="005B1223">
              <w:rPr>
                <w:b/>
                <w:smallCaps/>
                <w:color w:val="000000" w:themeColor="text1"/>
                <w:szCs w:val="24"/>
              </w:rPr>
              <w:t>:</w:t>
            </w:r>
          </w:p>
          <w:p w14:paraId="512E314B" w14:textId="6C4A8E3F" w:rsidR="00801D98" w:rsidRPr="00801D98" w:rsidRDefault="00801D98" w:rsidP="00D64B86">
            <w:pPr>
              <w:tabs>
                <w:tab w:val="left" w:pos="422"/>
              </w:tabs>
              <w:snapToGrid w:val="0"/>
              <w:spacing w:after="0" w:line="240" w:lineRule="auto"/>
              <w:rPr>
                <w:color w:val="000000" w:themeColor="text1"/>
                <w:szCs w:val="24"/>
              </w:rPr>
            </w:pPr>
            <w:r w:rsidRPr="00801D98">
              <w:rPr>
                <w:b/>
                <w:smallCaps/>
                <w:color w:val="000000" w:themeColor="text1"/>
                <w:szCs w:val="24"/>
              </w:rPr>
              <w:t xml:space="preserve">UAB SRS Servisas </w:t>
            </w:r>
          </w:p>
          <w:p w14:paraId="3E4480D1" w14:textId="77777777" w:rsidR="00E346FC" w:rsidRPr="00FA6F06" w:rsidRDefault="00E346FC" w:rsidP="00D64B86">
            <w:pPr>
              <w:tabs>
                <w:tab w:val="left" w:pos="18774"/>
              </w:tabs>
              <w:spacing w:after="0" w:line="240" w:lineRule="auto"/>
              <w:ind w:hanging="3672"/>
              <w:rPr>
                <w:i/>
                <w:color w:val="FF0000"/>
                <w:szCs w:val="24"/>
              </w:rPr>
            </w:pPr>
            <w:r w:rsidRPr="00FA6F06">
              <w:rPr>
                <w:i/>
                <w:color w:val="FF0000"/>
                <w:szCs w:val="24"/>
              </w:rPr>
              <w:t>Vadovas</w:t>
            </w:r>
          </w:p>
          <w:p w14:paraId="650EB44E" w14:textId="77777777" w:rsidR="00E346FC" w:rsidRPr="00FA6F06" w:rsidRDefault="00E346FC" w:rsidP="00D64B86">
            <w:pPr>
              <w:tabs>
                <w:tab w:val="left" w:pos="18774"/>
              </w:tabs>
              <w:spacing w:after="0" w:line="240" w:lineRule="auto"/>
              <w:ind w:hanging="3672"/>
              <w:rPr>
                <w:color w:val="FF0000"/>
                <w:szCs w:val="24"/>
              </w:rPr>
            </w:pPr>
            <w:r w:rsidRPr="00FA6F06">
              <w:rPr>
                <w:i/>
                <w:color w:val="FF0000"/>
                <w:szCs w:val="24"/>
              </w:rPr>
              <w:t>Vardas, pavardė</w:t>
            </w:r>
          </w:p>
        </w:tc>
      </w:tr>
      <w:tr w:rsidR="00E346FC" w:rsidRPr="00040AA6" w14:paraId="4B207EEF" w14:textId="77777777" w:rsidTr="00D64B86">
        <w:tc>
          <w:tcPr>
            <w:tcW w:w="4898" w:type="dxa"/>
            <w:shd w:val="clear" w:color="auto" w:fill="auto"/>
          </w:tcPr>
          <w:p w14:paraId="19C0454D" w14:textId="77777777" w:rsidR="00E346FC" w:rsidRPr="00040AA6" w:rsidRDefault="00E346FC" w:rsidP="00D64B86">
            <w:pPr>
              <w:tabs>
                <w:tab w:val="left" w:pos="422"/>
              </w:tabs>
              <w:snapToGrid w:val="0"/>
              <w:spacing w:after="0" w:line="240" w:lineRule="auto"/>
              <w:jc w:val="both"/>
              <w:rPr>
                <w:szCs w:val="24"/>
              </w:rPr>
            </w:pPr>
            <w:r w:rsidRPr="00040AA6">
              <w:rPr>
                <w:szCs w:val="24"/>
              </w:rPr>
              <w:t>_______________________                       A.V.</w:t>
            </w:r>
          </w:p>
          <w:p w14:paraId="002F6D8D" w14:textId="77777777" w:rsidR="00E346FC" w:rsidRPr="00040AA6" w:rsidRDefault="00E346FC" w:rsidP="00D64B86">
            <w:pPr>
              <w:tabs>
                <w:tab w:val="left" w:pos="422"/>
              </w:tabs>
              <w:spacing w:after="0" w:line="240" w:lineRule="auto"/>
              <w:jc w:val="both"/>
              <w:rPr>
                <w:szCs w:val="24"/>
              </w:rPr>
            </w:pPr>
            <w:r w:rsidRPr="00040AA6">
              <w:rPr>
                <w:szCs w:val="24"/>
                <w:vertAlign w:val="superscript"/>
              </w:rPr>
              <w:t>Parašas</w:t>
            </w:r>
          </w:p>
        </w:tc>
        <w:tc>
          <w:tcPr>
            <w:tcW w:w="4708" w:type="dxa"/>
            <w:shd w:val="clear" w:color="auto" w:fill="auto"/>
          </w:tcPr>
          <w:p w14:paraId="368A5C26" w14:textId="77777777" w:rsidR="00E346FC" w:rsidRPr="00040AA6" w:rsidRDefault="00FA6F06" w:rsidP="00D64B86">
            <w:pPr>
              <w:tabs>
                <w:tab w:val="left" w:pos="422"/>
              </w:tabs>
              <w:snapToGrid w:val="0"/>
              <w:spacing w:after="0" w:line="240" w:lineRule="auto"/>
              <w:jc w:val="both"/>
              <w:rPr>
                <w:szCs w:val="24"/>
              </w:rPr>
            </w:pPr>
            <w:r>
              <w:rPr>
                <w:szCs w:val="24"/>
              </w:rPr>
              <w:t>_</w:t>
            </w:r>
            <w:r w:rsidR="00E346FC" w:rsidRPr="00040AA6">
              <w:rPr>
                <w:szCs w:val="24"/>
              </w:rPr>
              <w:t>___________________                         A.V.</w:t>
            </w:r>
          </w:p>
          <w:p w14:paraId="74FDE3FE" w14:textId="77777777" w:rsidR="00E346FC" w:rsidRPr="00040AA6" w:rsidRDefault="00E346FC" w:rsidP="00D64B86">
            <w:pPr>
              <w:tabs>
                <w:tab w:val="left" w:pos="422"/>
              </w:tabs>
              <w:spacing w:after="0" w:line="240" w:lineRule="auto"/>
              <w:jc w:val="both"/>
              <w:rPr>
                <w:szCs w:val="24"/>
              </w:rPr>
            </w:pPr>
            <w:r w:rsidRPr="00040AA6">
              <w:rPr>
                <w:szCs w:val="24"/>
                <w:vertAlign w:val="superscript"/>
              </w:rPr>
              <w:t>Parašas</w:t>
            </w:r>
          </w:p>
        </w:tc>
      </w:tr>
    </w:tbl>
    <w:p w14:paraId="38B273D0" w14:textId="77777777" w:rsidR="009567DA" w:rsidRDefault="009567DA" w:rsidP="00C20DAA">
      <w:pPr>
        <w:spacing w:after="0" w:line="240" w:lineRule="auto"/>
        <w:rPr>
          <w:b/>
          <w:lang w:eastAsia="ru-RU"/>
        </w:rPr>
      </w:pPr>
    </w:p>
    <w:p w14:paraId="3111B600" w14:textId="77777777" w:rsidR="00C20DAA" w:rsidRDefault="00C20DAA" w:rsidP="00C20DAA">
      <w:pPr>
        <w:spacing w:after="0" w:line="240" w:lineRule="auto"/>
      </w:pPr>
    </w:p>
    <w:p w14:paraId="0F7FE3C3" w14:textId="77777777" w:rsidR="00921E30" w:rsidRDefault="00921E30" w:rsidP="00C20DAA">
      <w:pPr>
        <w:spacing w:after="0" w:line="240" w:lineRule="auto"/>
      </w:pPr>
    </w:p>
    <w:p w14:paraId="38516770" w14:textId="77777777" w:rsidR="00921E30" w:rsidRDefault="00921E30" w:rsidP="00C20DAA">
      <w:pPr>
        <w:spacing w:after="0" w:line="240" w:lineRule="auto"/>
      </w:pPr>
    </w:p>
    <w:p w14:paraId="25FA04FD" w14:textId="77777777" w:rsidR="00921E30" w:rsidRDefault="00921E30" w:rsidP="00C20DAA">
      <w:pPr>
        <w:spacing w:after="0" w:line="240" w:lineRule="auto"/>
      </w:pPr>
    </w:p>
    <w:p w14:paraId="039E1476" w14:textId="77777777" w:rsidR="00921E30" w:rsidRDefault="00921E30" w:rsidP="00C20DAA">
      <w:pPr>
        <w:spacing w:after="0" w:line="240" w:lineRule="auto"/>
      </w:pPr>
    </w:p>
    <w:p w14:paraId="6283AF55" w14:textId="77777777" w:rsidR="00921E30" w:rsidRDefault="00921E30" w:rsidP="00C20DAA">
      <w:pPr>
        <w:spacing w:after="0" w:line="240" w:lineRule="auto"/>
      </w:pPr>
    </w:p>
    <w:p w14:paraId="70EA401E" w14:textId="77777777" w:rsidR="00921E30" w:rsidRDefault="00921E30" w:rsidP="00C20DAA">
      <w:pPr>
        <w:spacing w:after="0" w:line="240" w:lineRule="auto"/>
      </w:pPr>
    </w:p>
    <w:p w14:paraId="65AAC2D8" w14:textId="77777777" w:rsidR="00921E30" w:rsidRDefault="00921E30" w:rsidP="00C20DAA">
      <w:pPr>
        <w:spacing w:after="0" w:line="240" w:lineRule="auto"/>
      </w:pPr>
    </w:p>
    <w:p w14:paraId="6301D3B9" w14:textId="77777777" w:rsidR="00921E30" w:rsidRDefault="00921E30" w:rsidP="00C20DAA">
      <w:pPr>
        <w:spacing w:after="0" w:line="240" w:lineRule="auto"/>
      </w:pPr>
    </w:p>
    <w:p w14:paraId="582458B1" w14:textId="77777777" w:rsidR="00921E30" w:rsidRDefault="00921E30" w:rsidP="00C20DAA">
      <w:pPr>
        <w:spacing w:after="0" w:line="240" w:lineRule="auto"/>
      </w:pPr>
    </w:p>
    <w:p w14:paraId="056B5B24" w14:textId="77777777" w:rsidR="00921E30" w:rsidRDefault="00921E30" w:rsidP="00C20DAA">
      <w:pPr>
        <w:spacing w:after="0" w:line="240" w:lineRule="auto"/>
      </w:pPr>
    </w:p>
    <w:p w14:paraId="02942995" w14:textId="77777777" w:rsidR="00921E30" w:rsidRDefault="00921E30" w:rsidP="00C20DAA">
      <w:pPr>
        <w:spacing w:after="0" w:line="240" w:lineRule="auto"/>
      </w:pPr>
    </w:p>
    <w:p w14:paraId="090BE0C5" w14:textId="77777777" w:rsidR="00921E30" w:rsidRDefault="00921E30" w:rsidP="00C20DAA">
      <w:pPr>
        <w:spacing w:after="0" w:line="240" w:lineRule="auto"/>
      </w:pPr>
    </w:p>
    <w:p w14:paraId="27BA9C6B" w14:textId="77777777" w:rsidR="00921E30" w:rsidRDefault="00921E30" w:rsidP="00C20DAA">
      <w:pPr>
        <w:spacing w:after="0" w:line="240" w:lineRule="auto"/>
      </w:pPr>
    </w:p>
    <w:p w14:paraId="3D0F7DD8" w14:textId="77777777" w:rsidR="00921E30" w:rsidRDefault="00921E30" w:rsidP="00C20DAA">
      <w:pPr>
        <w:spacing w:after="0" w:line="240" w:lineRule="auto"/>
      </w:pPr>
    </w:p>
    <w:p w14:paraId="165B8EEA" w14:textId="77777777" w:rsidR="00921E30" w:rsidRDefault="00921E30" w:rsidP="00C20DAA">
      <w:pPr>
        <w:spacing w:after="0" w:line="240" w:lineRule="auto"/>
      </w:pPr>
    </w:p>
    <w:p w14:paraId="51867515" w14:textId="77777777" w:rsidR="00921E30" w:rsidRDefault="00921E30" w:rsidP="00C20DAA">
      <w:pPr>
        <w:spacing w:after="0" w:line="240" w:lineRule="auto"/>
      </w:pPr>
    </w:p>
    <w:p w14:paraId="2E468ACF" w14:textId="77777777" w:rsidR="00921E30" w:rsidRDefault="00921E30" w:rsidP="00C20DAA">
      <w:pPr>
        <w:spacing w:after="0" w:line="240" w:lineRule="auto"/>
      </w:pPr>
    </w:p>
    <w:p w14:paraId="6347FB6B" w14:textId="77777777" w:rsidR="00921E30" w:rsidRDefault="00921E30" w:rsidP="00C20DAA">
      <w:pPr>
        <w:spacing w:after="0" w:line="240" w:lineRule="auto"/>
      </w:pPr>
    </w:p>
    <w:p w14:paraId="5B851801" w14:textId="77777777" w:rsidR="00921E30" w:rsidRDefault="00921E30" w:rsidP="00C20DAA">
      <w:pPr>
        <w:spacing w:after="0" w:line="240" w:lineRule="auto"/>
      </w:pPr>
    </w:p>
    <w:p w14:paraId="1BF6B9EE" w14:textId="77777777" w:rsidR="00921E30" w:rsidRDefault="00921E30" w:rsidP="00C20DAA">
      <w:pPr>
        <w:spacing w:after="0" w:line="240" w:lineRule="auto"/>
      </w:pPr>
    </w:p>
    <w:p w14:paraId="63479196" w14:textId="77777777" w:rsidR="00921E30" w:rsidRDefault="00921E30" w:rsidP="00C20DAA">
      <w:pPr>
        <w:spacing w:after="0" w:line="240" w:lineRule="auto"/>
      </w:pPr>
    </w:p>
    <w:p w14:paraId="4BA91530" w14:textId="77777777" w:rsidR="00921E30" w:rsidRDefault="00921E30" w:rsidP="00C20DAA">
      <w:pPr>
        <w:spacing w:after="0" w:line="240" w:lineRule="auto"/>
      </w:pPr>
    </w:p>
    <w:p w14:paraId="309EA948" w14:textId="77777777" w:rsidR="00921E30" w:rsidRDefault="00921E30" w:rsidP="00C20DAA">
      <w:pPr>
        <w:spacing w:after="0" w:line="240" w:lineRule="auto"/>
      </w:pPr>
    </w:p>
    <w:p w14:paraId="51D0F6A3" w14:textId="77777777" w:rsidR="00921E30" w:rsidRDefault="00921E30" w:rsidP="00C20DAA">
      <w:pPr>
        <w:spacing w:after="0" w:line="240" w:lineRule="auto"/>
      </w:pPr>
    </w:p>
    <w:p w14:paraId="5892AFFE" w14:textId="4825BF8D" w:rsidR="00921E30" w:rsidRDefault="00921E30" w:rsidP="00C20DAA">
      <w:pPr>
        <w:spacing w:after="0" w:line="240" w:lineRule="auto"/>
      </w:pPr>
    </w:p>
    <w:p w14:paraId="6B326255" w14:textId="06F3361E" w:rsidR="00E34668" w:rsidRDefault="00E34668" w:rsidP="00C20DAA">
      <w:pPr>
        <w:spacing w:after="0" w:line="240" w:lineRule="auto"/>
      </w:pPr>
    </w:p>
    <w:p w14:paraId="3B6FCB48" w14:textId="4AD64D57" w:rsidR="00E34668" w:rsidRDefault="00E34668" w:rsidP="00C20DAA">
      <w:pPr>
        <w:spacing w:after="0" w:line="240" w:lineRule="auto"/>
      </w:pPr>
    </w:p>
    <w:p w14:paraId="1A61E7B0" w14:textId="3901FFB0" w:rsidR="00E34668" w:rsidRDefault="00E34668" w:rsidP="00C20DAA">
      <w:pPr>
        <w:spacing w:after="0" w:line="240" w:lineRule="auto"/>
      </w:pPr>
    </w:p>
    <w:p w14:paraId="1CBAD7FC" w14:textId="46FC983E" w:rsidR="00E34668" w:rsidRDefault="00E34668" w:rsidP="00C20DAA">
      <w:pPr>
        <w:spacing w:after="0" w:line="240" w:lineRule="auto"/>
      </w:pPr>
    </w:p>
    <w:p w14:paraId="6369571E" w14:textId="5B3FF682" w:rsidR="00E34668" w:rsidRDefault="00E34668" w:rsidP="00C20DAA">
      <w:pPr>
        <w:spacing w:after="0" w:line="240" w:lineRule="auto"/>
      </w:pPr>
    </w:p>
    <w:p w14:paraId="3FE0C68C" w14:textId="1FDC9FE5" w:rsidR="00E34668" w:rsidRDefault="00E34668" w:rsidP="00C20DAA">
      <w:pPr>
        <w:spacing w:after="0" w:line="240" w:lineRule="auto"/>
      </w:pPr>
    </w:p>
    <w:p w14:paraId="6DEED933" w14:textId="7F0F5E87" w:rsidR="00A907C7" w:rsidRDefault="00A907C7" w:rsidP="00C20DAA">
      <w:pPr>
        <w:spacing w:after="0" w:line="240" w:lineRule="auto"/>
      </w:pPr>
    </w:p>
    <w:p w14:paraId="0BAA5B8E" w14:textId="21870977" w:rsidR="00A907C7" w:rsidRDefault="00A907C7" w:rsidP="00C20DAA">
      <w:pPr>
        <w:spacing w:after="0" w:line="240" w:lineRule="auto"/>
      </w:pPr>
    </w:p>
    <w:p w14:paraId="5482DA85" w14:textId="3B05F450" w:rsidR="00A907C7" w:rsidRDefault="00A907C7" w:rsidP="00C20DAA">
      <w:pPr>
        <w:spacing w:after="0" w:line="240" w:lineRule="auto"/>
      </w:pPr>
    </w:p>
    <w:p w14:paraId="6E7A6C4A" w14:textId="77777777" w:rsidR="00A907C7" w:rsidRDefault="00A907C7" w:rsidP="00C20DAA">
      <w:pPr>
        <w:spacing w:after="0" w:line="240" w:lineRule="auto"/>
      </w:pPr>
    </w:p>
    <w:p w14:paraId="0E7688E1" w14:textId="77777777" w:rsidR="000B6D1B" w:rsidRDefault="000B6D1B" w:rsidP="000B6D1B">
      <w:pPr>
        <w:spacing w:after="0" w:line="240" w:lineRule="auto"/>
        <w:jc w:val="right"/>
      </w:pPr>
      <w:r>
        <w:t>Paprastojo remonto darbų pirkimo-pardavimo sutarties</w:t>
      </w:r>
    </w:p>
    <w:p w14:paraId="746DDEE6" w14:textId="77777777" w:rsidR="001A6C0C" w:rsidRDefault="001A6C0C" w:rsidP="000B6D1B">
      <w:pPr>
        <w:spacing w:after="0" w:line="240" w:lineRule="auto"/>
        <w:jc w:val="right"/>
      </w:pPr>
      <w:r>
        <w:t>Priedas Nr. 2</w:t>
      </w:r>
    </w:p>
    <w:p w14:paraId="360D227A" w14:textId="77777777" w:rsidR="000B6D1B" w:rsidRDefault="000B6D1B" w:rsidP="000B6D1B">
      <w:pPr>
        <w:spacing w:after="0" w:line="240" w:lineRule="auto"/>
        <w:jc w:val="right"/>
      </w:pPr>
    </w:p>
    <w:p w14:paraId="30F08527" w14:textId="77777777" w:rsidR="000B6D1B" w:rsidRDefault="000B6D1B" w:rsidP="000B6D1B">
      <w:pPr>
        <w:widowControl w:val="0"/>
        <w:autoSpaceDE w:val="0"/>
        <w:autoSpaceDN w:val="0"/>
        <w:adjustRightInd w:val="0"/>
        <w:jc w:val="center"/>
        <w:rPr>
          <w:b/>
          <w:szCs w:val="24"/>
        </w:rPr>
      </w:pPr>
      <w:r>
        <w:rPr>
          <w:b/>
          <w:szCs w:val="24"/>
        </w:rPr>
        <w:t>APLINKOSAUGINIAI</w:t>
      </w:r>
      <w:r w:rsidR="00BF279F">
        <w:rPr>
          <w:b/>
          <w:szCs w:val="24"/>
        </w:rPr>
        <w:t xml:space="preserve"> (ŽALIEJI)</w:t>
      </w:r>
      <w:r>
        <w:rPr>
          <w:b/>
          <w:szCs w:val="24"/>
        </w:rPr>
        <w:t xml:space="preserve"> REIKALAVIMAI </w:t>
      </w:r>
    </w:p>
    <w:p w14:paraId="1630F30D" w14:textId="77777777" w:rsidR="000B6D1B" w:rsidRDefault="000B6D1B" w:rsidP="00CE66C4">
      <w:pPr>
        <w:widowControl w:val="0"/>
        <w:autoSpaceDE w:val="0"/>
        <w:autoSpaceDN w:val="0"/>
        <w:adjustRightInd w:val="0"/>
        <w:jc w:val="center"/>
        <w:rPr>
          <w:b/>
          <w:szCs w:val="24"/>
        </w:rPr>
      </w:pPr>
      <w:r>
        <w:rPr>
          <w:b/>
          <w:szCs w:val="24"/>
        </w:rPr>
        <w:t>STATYBINĖMS MEDŽIAGOMS</w:t>
      </w:r>
    </w:p>
    <w:p w14:paraId="6EE8F0F1" w14:textId="77777777" w:rsidR="000B6D1B" w:rsidRPr="007B2EF7" w:rsidRDefault="000B6D1B" w:rsidP="000B6D1B">
      <w:pPr>
        <w:widowControl w:val="0"/>
        <w:autoSpaceDE w:val="0"/>
        <w:autoSpaceDN w:val="0"/>
        <w:adjustRightInd w:val="0"/>
        <w:ind w:firstLine="851"/>
        <w:jc w:val="both"/>
        <w:rPr>
          <w:szCs w:val="24"/>
        </w:rPr>
      </w:pPr>
      <w:r w:rsidRPr="00ED065B">
        <w:rPr>
          <w:szCs w:val="24"/>
        </w:rPr>
        <w:t>Aplinkosauginiai reikalavimai</w:t>
      </w:r>
      <w:r>
        <w:rPr>
          <w:szCs w:val="24"/>
        </w:rPr>
        <w:t xml:space="preserve"> perkamiems darbams nustatomi vadovaujantis Lietuvos Respublikos aplinkos ministro 2011 m. birželio 28 d. įsakymu Nr. D1-508 parvirtintu Aplinkos Apsaugos kriterijų taikymo, vykdant žaliuosius pirkimus tvarkos aprašo (Aprašo) 1 priedo XIII skyriumi „Statybinės medžiagos“: </w:t>
      </w:r>
    </w:p>
    <w:p w14:paraId="797048BB" w14:textId="77777777" w:rsidR="000B6D1B" w:rsidRPr="00612A4A" w:rsidRDefault="000B6D1B" w:rsidP="000B6D1B">
      <w:pPr>
        <w:ind w:firstLine="851"/>
        <w:jc w:val="both"/>
        <w:rPr>
          <w:color w:val="000000"/>
          <w:szCs w:val="24"/>
          <w:lang w:eastAsia="lt-LT"/>
        </w:rPr>
      </w:pPr>
      <w:r>
        <w:rPr>
          <w:color w:val="000000"/>
          <w:szCs w:val="24"/>
          <w:lang w:eastAsia="lt-LT"/>
        </w:rPr>
        <w:t>„</w:t>
      </w:r>
      <w:r w:rsidRPr="00612A4A">
        <w:rPr>
          <w:color w:val="000000"/>
          <w:szCs w:val="24"/>
          <w:lang w:eastAsia="lt-LT"/>
        </w:rPr>
        <w:t>16. Mediena ir jos produktai:</w:t>
      </w:r>
    </w:p>
    <w:p w14:paraId="63A31F73" w14:textId="77777777" w:rsidR="000B6D1B" w:rsidRPr="00612A4A" w:rsidRDefault="000B6D1B" w:rsidP="000B6D1B">
      <w:pPr>
        <w:ind w:firstLine="851"/>
        <w:jc w:val="both"/>
        <w:rPr>
          <w:color w:val="000000"/>
          <w:szCs w:val="24"/>
          <w:lang w:eastAsia="lt-LT"/>
        </w:rPr>
      </w:pPr>
      <w:bookmarkStart w:id="3" w:name="part_a2d45f3a08a746478a4850cff70855be"/>
      <w:bookmarkEnd w:id="3"/>
      <w:r w:rsidRPr="00612A4A">
        <w:rPr>
          <w:color w:val="000000"/>
          <w:szCs w:val="24"/>
          <w:lang w:eastAsia="lt-LT"/>
        </w:rPr>
        <w:t>16.1. ne mažiau kaip 80 proc. statiniuose naudojamos medienos, medienos medžiagų ir gaminių turi būti iš miškų, sertifikuotų naudojant FSC ar PEFC miškų sertifikavimo sistemas arba lygiavertes sertifikavimo sistemas;</w:t>
      </w:r>
    </w:p>
    <w:p w14:paraId="03FA5FD0" w14:textId="77777777" w:rsidR="000B6D1B" w:rsidRPr="00612A4A" w:rsidRDefault="000B6D1B" w:rsidP="00CE66C4">
      <w:pPr>
        <w:ind w:firstLine="851"/>
        <w:jc w:val="both"/>
        <w:rPr>
          <w:color w:val="000000"/>
          <w:szCs w:val="24"/>
          <w:lang w:eastAsia="lt-LT"/>
        </w:rPr>
      </w:pPr>
      <w:bookmarkStart w:id="4" w:name="part_fe3f0e82669a43e481b3cbe92f8d59cb"/>
      <w:bookmarkEnd w:id="4"/>
      <w:r w:rsidRPr="00612A4A">
        <w:rPr>
          <w:color w:val="000000"/>
          <w:szCs w:val="24"/>
          <w:lang w:eastAsia="lt-LT"/>
        </w:rPr>
        <w:lastRenderedPageBreak/>
        <w:t>16.</w:t>
      </w:r>
      <w:r w:rsidRPr="00612A4A">
        <w:rPr>
          <w:smallCaps/>
          <w:color w:val="000000"/>
          <w:szCs w:val="24"/>
          <w:lang w:eastAsia="lt-LT"/>
        </w:rPr>
        <w:t>2. </w:t>
      </w:r>
      <w:r w:rsidRPr="00612A4A">
        <w:rPr>
          <w:color w:val="000000"/>
          <w:szCs w:val="24"/>
          <w:lang w:eastAsia="lt-LT"/>
        </w:rPr>
        <w:t>plokštėse, kuriose yra formaldehido rišamųjų medžiagų, formaldehido emisija į atmosferą E1 klasės plokštėms turi būti ne didesnė kaip 0,124 mg/m</w:t>
      </w:r>
      <w:r w:rsidRPr="00612A4A">
        <w:rPr>
          <w:color w:val="000000"/>
          <w:szCs w:val="24"/>
          <w:vertAlign w:val="superscript"/>
          <w:lang w:eastAsia="lt-LT"/>
        </w:rPr>
        <w:t>3</w:t>
      </w:r>
      <w:r w:rsidRPr="00612A4A">
        <w:rPr>
          <w:color w:val="000000"/>
          <w:szCs w:val="24"/>
          <w:lang w:eastAsia="lt-LT"/>
        </w:rPr>
        <w:t> oro pagal bandymo metodą LST EN 13986 „Medienos skydai, naudojami statybinėms konstrukcijoms. Charakteristikos, atitikties įvertinimas ir ženklinimas“ (arba lygiavertį standartą) arba formaldehido koncentracija turi būti ne didesnė kaip 0,1 ppm pagal bandymo metodą LST EN 717-1 „Medienos skydai. Formaldehido išsiskyrimo nustatymas. 1 dalis. Formaldehido išsiskyrimo nustatymas kameros metodu“ (arba lygiavertį standartą).</w:t>
      </w:r>
    </w:p>
    <w:p w14:paraId="373A6AA8" w14:textId="77777777" w:rsidR="000B6D1B" w:rsidRPr="00612A4A" w:rsidRDefault="000B6D1B" w:rsidP="000B6D1B">
      <w:pPr>
        <w:ind w:firstLine="851"/>
        <w:rPr>
          <w:color w:val="000000"/>
          <w:szCs w:val="24"/>
          <w:lang w:eastAsia="lt-LT"/>
        </w:rPr>
      </w:pPr>
      <w:bookmarkStart w:id="5" w:name="part_e6f8106e94b34ff58b9511aee794cab0"/>
      <w:bookmarkEnd w:id="5"/>
      <w:r w:rsidRPr="00612A4A">
        <w:rPr>
          <w:color w:val="000000"/>
          <w:szCs w:val="24"/>
          <w:lang w:eastAsia="lt-LT"/>
        </w:rPr>
        <w:t>17. Dažai:</w:t>
      </w:r>
    </w:p>
    <w:p w14:paraId="571A7C6E" w14:textId="77777777" w:rsidR="000B6D1B" w:rsidRPr="00612A4A" w:rsidRDefault="000B6D1B" w:rsidP="000B6D1B">
      <w:pPr>
        <w:ind w:firstLine="851"/>
        <w:jc w:val="both"/>
        <w:rPr>
          <w:color w:val="000000"/>
          <w:szCs w:val="24"/>
          <w:lang w:eastAsia="lt-LT"/>
        </w:rPr>
      </w:pPr>
      <w:bookmarkStart w:id="6" w:name="part_1458655f31a8430987755beed16af2d5"/>
      <w:bookmarkEnd w:id="6"/>
      <w:r w:rsidRPr="00612A4A">
        <w:rPr>
          <w:color w:val="000000"/>
          <w:szCs w:val="24"/>
          <w:lang w:eastAsia="lt-LT"/>
        </w:rPr>
        <w:t>17.1. paruoštų naudoti patalpų vidaus ir išorės dažų produkte lakiųjų organinių junginių (LOJ), kurių pradinė virimo temperatūra, esant standartiniam 101,3 kPa slėgiui, yra ne aukštesnė kaip 250 ˚C, turi būti ne daugiau kaip:</w:t>
      </w:r>
    </w:p>
    <w:tbl>
      <w:tblPr>
        <w:tblW w:w="0" w:type="auto"/>
        <w:tblInd w:w="675" w:type="dxa"/>
        <w:tblCellMar>
          <w:left w:w="0" w:type="dxa"/>
          <w:right w:w="0" w:type="dxa"/>
        </w:tblCellMar>
        <w:tblLook w:val="04A0" w:firstRow="1" w:lastRow="0" w:firstColumn="1" w:lastColumn="0" w:noHBand="0" w:noVBand="1"/>
      </w:tblPr>
      <w:tblGrid>
        <w:gridCol w:w="565"/>
        <w:gridCol w:w="6020"/>
        <w:gridCol w:w="2074"/>
      </w:tblGrid>
      <w:tr w:rsidR="000B6D1B" w:rsidRPr="00612A4A" w14:paraId="11241E82" w14:textId="77777777" w:rsidTr="00D64B86">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247A27" w14:textId="77777777" w:rsidR="000B6D1B" w:rsidRPr="00612A4A" w:rsidRDefault="000B6D1B" w:rsidP="00D64B86">
            <w:pPr>
              <w:jc w:val="center"/>
              <w:rPr>
                <w:szCs w:val="24"/>
                <w:lang w:eastAsia="lt-LT"/>
              </w:rPr>
            </w:pPr>
            <w:r w:rsidRPr="00612A4A">
              <w:rPr>
                <w:sz w:val="22"/>
                <w:lang w:eastAsia="lt-LT"/>
              </w:rPr>
              <w:t>Eil. Nr.</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EFD1D" w14:textId="77777777" w:rsidR="000B6D1B" w:rsidRPr="00612A4A" w:rsidRDefault="000B6D1B" w:rsidP="00D64B86">
            <w:pPr>
              <w:jc w:val="center"/>
              <w:rPr>
                <w:szCs w:val="24"/>
                <w:lang w:eastAsia="lt-LT"/>
              </w:rPr>
            </w:pPr>
            <w:r w:rsidRPr="00612A4A">
              <w:rPr>
                <w:sz w:val="22"/>
                <w:lang w:eastAsia="lt-LT"/>
              </w:rPr>
              <w:t>Produkto aprašymas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11E4B" w14:textId="77777777" w:rsidR="000B6D1B" w:rsidRPr="00612A4A" w:rsidRDefault="000B6D1B" w:rsidP="00D64B86">
            <w:pPr>
              <w:jc w:val="center"/>
              <w:rPr>
                <w:szCs w:val="24"/>
                <w:lang w:eastAsia="lt-LT"/>
              </w:rPr>
            </w:pPr>
            <w:r w:rsidRPr="00612A4A">
              <w:rPr>
                <w:sz w:val="22"/>
                <w:lang w:eastAsia="lt-LT"/>
              </w:rPr>
              <w:t>LOJ ribinė vertė, g/l (įskaitant vandenį)</w:t>
            </w:r>
          </w:p>
        </w:tc>
      </w:tr>
      <w:tr w:rsidR="000B6D1B" w:rsidRPr="00612A4A" w14:paraId="6380FE3B"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30CFC" w14:textId="77777777" w:rsidR="000B6D1B" w:rsidRPr="00612A4A" w:rsidRDefault="000B6D1B" w:rsidP="00D64B86">
            <w:pPr>
              <w:jc w:val="center"/>
              <w:rPr>
                <w:szCs w:val="24"/>
                <w:lang w:eastAsia="lt-LT"/>
              </w:rPr>
            </w:pPr>
            <w:r w:rsidRPr="00612A4A">
              <w:rPr>
                <w:sz w:val="22"/>
                <w:lang w:eastAsia="lt-LT"/>
              </w:rPr>
              <w:t>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D05FC62" w14:textId="77777777" w:rsidR="000B6D1B" w:rsidRPr="00612A4A" w:rsidRDefault="000B6D1B" w:rsidP="00D64B86">
            <w:pPr>
              <w:rPr>
                <w:szCs w:val="24"/>
                <w:lang w:eastAsia="lt-LT"/>
              </w:rPr>
            </w:pPr>
            <w:r w:rsidRPr="00612A4A">
              <w:rPr>
                <w:sz w:val="22"/>
                <w:lang w:eastAsia="lt-LT"/>
              </w:rPr>
              <w:t>Vidinių sienų ir lubų matinės dangos (blizgesys esant 60º kampui, mažesnis kaip 25) dengimo medžiagos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9B01777" w14:textId="77777777" w:rsidR="000B6D1B" w:rsidRPr="00612A4A" w:rsidRDefault="000B6D1B" w:rsidP="00D64B86">
            <w:pPr>
              <w:jc w:val="center"/>
              <w:rPr>
                <w:szCs w:val="24"/>
                <w:lang w:eastAsia="lt-LT"/>
              </w:rPr>
            </w:pPr>
            <w:r w:rsidRPr="00612A4A">
              <w:rPr>
                <w:sz w:val="22"/>
                <w:lang w:eastAsia="lt-LT"/>
              </w:rPr>
              <w:t>15</w:t>
            </w:r>
          </w:p>
        </w:tc>
      </w:tr>
      <w:tr w:rsidR="000B6D1B" w:rsidRPr="00612A4A" w14:paraId="2BB5D918"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5FAA4" w14:textId="77777777" w:rsidR="000B6D1B" w:rsidRPr="00612A4A" w:rsidRDefault="000B6D1B" w:rsidP="00D64B86">
            <w:pPr>
              <w:jc w:val="center"/>
              <w:rPr>
                <w:szCs w:val="24"/>
                <w:lang w:eastAsia="lt-LT"/>
              </w:rPr>
            </w:pPr>
            <w:r w:rsidRPr="00612A4A">
              <w:rPr>
                <w:sz w:val="22"/>
                <w:lang w:eastAsia="lt-LT"/>
              </w:rPr>
              <w:t>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088D6449" w14:textId="77777777" w:rsidR="000B6D1B" w:rsidRPr="00612A4A" w:rsidRDefault="000B6D1B" w:rsidP="00D64B86">
            <w:pPr>
              <w:rPr>
                <w:szCs w:val="24"/>
                <w:lang w:eastAsia="lt-LT"/>
              </w:rPr>
            </w:pPr>
            <w:r w:rsidRPr="00612A4A">
              <w:rPr>
                <w:sz w:val="22"/>
                <w:lang w:eastAsia="lt-LT"/>
              </w:rPr>
              <w:t>Vidinių sienų ir lubų blizgiosios dangos (blizgesys esant 60º kampui, mažesnis kaip 25) dengimo medžiagos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34CFDEA" w14:textId="77777777" w:rsidR="000B6D1B" w:rsidRPr="00612A4A" w:rsidRDefault="000B6D1B" w:rsidP="00D64B86">
            <w:pPr>
              <w:jc w:val="center"/>
              <w:rPr>
                <w:szCs w:val="24"/>
                <w:lang w:eastAsia="lt-LT"/>
              </w:rPr>
            </w:pPr>
            <w:r w:rsidRPr="00612A4A">
              <w:rPr>
                <w:sz w:val="22"/>
                <w:lang w:eastAsia="lt-LT"/>
              </w:rPr>
              <w:t>60</w:t>
            </w:r>
          </w:p>
        </w:tc>
      </w:tr>
      <w:tr w:rsidR="000B6D1B" w:rsidRPr="00612A4A" w14:paraId="07A05590"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63473" w14:textId="77777777" w:rsidR="000B6D1B" w:rsidRPr="00612A4A" w:rsidRDefault="000B6D1B" w:rsidP="00D64B86">
            <w:pPr>
              <w:jc w:val="center"/>
              <w:rPr>
                <w:szCs w:val="24"/>
                <w:lang w:eastAsia="lt-LT"/>
              </w:rPr>
            </w:pPr>
            <w:r w:rsidRPr="00612A4A">
              <w:rPr>
                <w:sz w:val="22"/>
                <w:lang w:eastAsia="lt-LT"/>
              </w:rPr>
              <w:t>3.</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58270B99" w14:textId="77777777" w:rsidR="000B6D1B" w:rsidRPr="00612A4A" w:rsidRDefault="000B6D1B" w:rsidP="00D64B86">
            <w:pPr>
              <w:rPr>
                <w:szCs w:val="24"/>
                <w:lang w:eastAsia="lt-LT"/>
              </w:rPr>
            </w:pPr>
            <w:r w:rsidRPr="00612A4A">
              <w:rPr>
                <w:sz w:val="22"/>
                <w:lang w:eastAsia="lt-LT"/>
              </w:rPr>
              <w:t>Išorinių sienų mineraliniam pagrindui skirtos dangos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CF4D51B" w14:textId="77777777" w:rsidR="000B6D1B" w:rsidRPr="00612A4A" w:rsidRDefault="000B6D1B" w:rsidP="00D64B86">
            <w:pPr>
              <w:jc w:val="center"/>
              <w:rPr>
                <w:szCs w:val="24"/>
                <w:lang w:eastAsia="lt-LT"/>
              </w:rPr>
            </w:pPr>
            <w:r w:rsidRPr="00612A4A">
              <w:rPr>
                <w:sz w:val="22"/>
                <w:lang w:eastAsia="lt-LT"/>
              </w:rPr>
              <w:t>30</w:t>
            </w:r>
          </w:p>
        </w:tc>
      </w:tr>
      <w:tr w:rsidR="000B6D1B" w:rsidRPr="00612A4A" w14:paraId="3BFAD10F"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F2664" w14:textId="77777777" w:rsidR="000B6D1B" w:rsidRPr="00612A4A" w:rsidRDefault="000B6D1B" w:rsidP="00D64B86">
            <w:pPr>
              <w:jc w:val="center"/>
              <w:rPr>
                <w:szCs w:val="24"/>
                <w:lang w:eastAsia="lt-LT"/>
              </w:rPr>
            </w:pPr>
            <w:r w:rsidRPr="00612A4A">
              <w:rPr>
                <w:sz w:val="22"/>
                <w:lang w:eastAsia="lt-LT"/>
              </w:rPr>
              <w:t>4.</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5370A331" w14:textId="77777777" w:rsidR="000B6D1B" w:rsidRPr="00612A4A" w:rsidRDefault="000B6D1B" w:rsidP="00D64B86">
            <w:pPr>
              <w:rPr>
                <w:szCs w:val="24"/>
                <w:lang w:eastAsia="lt-LT"/>
              </w:rPr>
            </w:pPr>
            <w:r w:rsidRPr="00612A4A">
              <w:rPr>
                <w:sz w:val="22"/>
                <w:lang w:eastAsia="lt-LT"/>
              </w:rPr>
              <w:t>Vidaus ir (ar) išorės apdailos ir padengimo dažai medienai ir metalui</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33178FA" w14:textId="77777777" w:rsidR="000B6D1B" w:rsidRPr="00612A4A" w:rsidRDefault="000B6D1B" w:rsidP="00D64B86">
            <w:pPr>
              <w:jc w:val="center"/>
              <w:rPr>
                <w:szCs w:val="24"/>
                <w:lang w:eastAsia="lt-LT"/>
              </w:rPr>
            </w:pPr>
            <w:r w:rsidRPr="00612A4A">
              <w:rPr>
                <w:sz w:val="22"/>
                <w:lang w:eastAsia="lt-LT"/>
              </w:rPr>
              <w:t>90</w:t>
            </w:r>
          </w:p>
        </w:tc>
      </w:tr>
      <w:tr w:rsidR="000B6D1B" w:rsidRPr="00612A4A" w14:paraId="257F3E70"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2F5CE" w14:textId="77777777" w:rsidR="000B6D1B" w:rsidRPr="00612A4A" w:rsidRDefault="000B6D1B" w:rsidP="00D64B86">
            <w:pPr>
              <w:jc w:val="center"/>
              <w:rPr>
                <w:szCs w:val="24"/>
                <w:lang w:eastAsia="lt-LT"/>
              </w:rPr>
            </w:pPr>
            <w:r w:rsidRPr="00612A4A">
              <w:rPr>
                <w:sz w:val="22"/>
                <w:lang w:eastAsia="lt-LT"/>
              </w:rPr>
              <w:t>5.</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5E0CB301" w14:textId="77777777" w:rsidR="000B6D1B" w:rsidRPr="00612A4A" w:rsidRDefault="000B6D1B" w:rsidP="00D64B86">
            <w:pPr>
              <w:rPr>
                <w:szCs w:val="24"/>
                <w:lang w:eastAsia="lt-LT"/>
              </w:rPr>
            </w:pPr>
            <w:r w:rsidRPr="00612A4A">
              <w:rPr>
                <w:sz w:val="22"/>
                <w:lang w:eastAsia="lt-LT"/>
              </w:rPr>
              <w:t>Vidaus apdailos lakai ir medienos beicai, įskaitant neskaidrius medienos beicus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83C1F08" w14:textId="77777777" w:rsidR="000B6D1B" w:rsidRPr="00612A4A" w:rsidRDefault="000B6D1B" w:rsidP="00D64B86">
            <w:pPr>
              <w:jc w:val="center"/>
              <w:rPr>
                <w:szCs w:val="24"/>
                <w:lang w:eastAsia="lt-LT"/>
              </w:rPr>
            </w:pPr>
            <w:r w:rsidRPr="00612A4A">
              <w:rPr>
                <w:sz w:val="22"/>
                <w:lang w:eastAsia="lt-LT"/>
              </w:rPr>
              <w:t>75</w:t>
            </w:r>
          </w:p>
        </w:tc>
      </w:tr>
      <w:tr w:rsidR="000B6D1B" w:rsidRPr="00612A4A" w14:paraId="3A97EC78"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B21EF" w14:textId="77777777" w:rsidR="000B6D1B" w:rsidRPr="00612A4A" w:rsidRDefault="000B6D1B" w:rsidP="00D64B86">
            <w:pPr>
              <w:jc w:val="center"/>
              <w:rPr>
                <w:szCs w:val="24"/>
                <w:lang w:eastAsia="lt-LT"/>
              </w:rPr>
            </w:pPr>
            <w:r w:rsidRPr="00612A4A">
              <w:rPr>
                <w:sz w:val="22"/>
                <w:lang w:eastAsia="lt-LT"/>
              </w:rPr>
              <w:t>6.</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DA1A018" w14:textId="77777777" w:rsidR="000B6D1B" w:rsidRPr="00612A4A" w:rsidRDefault="000B6D1B" w:rsidP="00D64B86">
            <w:pPr>
              <w:rPr>
                <w:szCs w:val="24"/>
                <w:lang w:eastAsia="lt-LT"/>
              </w:rPr>
            </w:pPr>
            <w:r w:rsidRPr="00612A4A">
              <w:rPr>
                <w:sz w:val="22"/>
                <w:lang w:eastAsia="lt-LT"/>
              </w:rPr>
              <w:t>Išorės apdailos lakai ir medienos beicai, įskaitant neskaidrius medienos beicus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C87A37E" w14:textId="77777777" w:rsidR="000B6D1B" w:rsidRPr="00612A4A" w:rsidRDefault="000B6D1B" w:rsidP="00D64B86">
            <w:pPr>
              <w:jc w:val="center"/>
              <w:rPr>
                <w:szCs w:val="24"/>
                <w:lang w:eastAsia="lt-LT"/>
              </w:rPr>
            </w:pPr>
            <w:r w:rsidRPr="00612A4A">
              <w:rPr>
                <w:sz w:val="22"/>
                <w:lang w:eastAsia="lt-LT"/>
              </w:rPr>
              <w:t>90</w:t>
            </w:r>
          </w:p>
        </w:tc>
      </w:tr>
      <w:tr w:rsidR="000B6D1B" w:rsidRPr="00612A4A" w14:paraId="539C6F7C"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78D4F" w14:textId="77777777" w:rsidR="000B6D1B" w:rsidRPr="00612A4A" w:rsidRDefault="000B6D1B" w:rsidP="00D64B86">
            <w:pPr>
              <w:jc w:val="center"/>
              <w:rPr>
                <w:szCs w:val="24"/>
                <w:lang w:eastAsia="lt-LT"/>
              </w:rPr>
            </w:pPr>
            <w:r w:rsidRPr="00612A4A">
              <w:rPr>
                <w:sz w:val="22"/>
                <w:lang w:eastAsia="lt-LT"/>
              </w:rPr>
              <w:t>7.</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46D5081C" w14:textId="77777777" w:rsidR="000B6D1B" w:rsidRPr="00612A4A" w:rsidRDefault="000B6D1B" w:rsidP="00D64B86">
            <w:pPr>
              <w:rPr>
                <w:szCs w:val="24"/>
                <w:lang w:eastAsia="lt-LT"/>
              </w:rPr>
            </w:pPr>
            <w:r w:rsidRPr="00612A4A">
              <w:rPr>
                <w:sz w:val="22"/>
                <w:lang w:eastAsia="lt-LT"/>
              </w:rPr>
              <w:t>Vidaus ir išorės plonasluoksniai medienos beicai</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5A4F01D" w14:textId="77777777" w:rsidR="000B6D1B" w:rsidRPr="00612A4A" w:rsidRDefault="000B6D1B" w:rsidP="00D64B86">
            <w:pPr>
              <w:jc w:val="center"/>
              <w:rPr>
                <w:szCs w:val="24"/>
                <w:lang w:eastAsia="lt-LT"/>
              </w:rPr>
            </w:pPr>
            <w:r w:rsidRPr="00612A4A">
              <w:rPr>
                <w:sz w:val="22"/>
                <w:lang w:eastAsia="lt-LT"/>
              </w:rPr>
              <w:t>75</w:t>
            </w:r>
          </w:p>
        </w:tc>
      </w:tr>
      <w:tr w:rsidR="000B6D1B" w:rsidRPr="00612A4A" w14:paraId="5921190D"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DD811" w14:textId="77777777" w:rsidR="000B6D1B" w:rsidRPr="00612A4A" w:rsidRDefault="000B6D1B" w:rsidP="00D64B86">
            <w:pPr>
              <w:jc w:val="center"/>
              <w:rPr>
                <w:szCs w:val="24"/>
                <w:lang w:eastAsia="lt-LT"/>
              </w:rPr>
            </w:pPr>
            <w:r w:rsidRPr="00612A4A">
              <w:rPr>
                <w:sz w:val="22"/>
                <w:lang w:eastAsia="lt-LT"/>
              </w:rPr>
              <w:t>8.</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1806CCDC" w14:textId="77777777" w:rsidR="000B6D1B" w:rsidRPr="00612A4A" w:rsidRDefault="000B6D1B" w:rsidP="00D64B86">
            <w:pPr>
              <w:rPr>
                <w:szCs w:val="24"/>
                <w:lang w:eastAsia="lt-LT"/>
              </w:rPr>
            </w:pPr>
            <w:r w:rsidRPr="00612A4A">
              <w:rPr>
                <w:sz w:val="22"/>
                <w:lang w:eastAsia="lt-LT"/>
              </w:rPr>
              <w:t>Gruntai ir rišamieji gruntai</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7EDCEBD" w14:textId="77777777" w:rsidR="000B6D1B" w:rsidRPr="00612A4A" w:rsidRDefault="000B6D1B" w:rsidP="00D64B86">
            <w:pPr>
              <w:jc w:val="center"/>
              <w:rPr>
                <w:szCs w:val="24"/>
                <w:lang w:eastAsia="lt-LT"/>
              </w:rPr>
            </w:pPr>
            <w:r w:rsidRPr="00612A4A">
              <w:rPr>
                <w:sz w:val="22"/>
                <w:lang w:eastAsia="lt-LT"/>
              </w:rPr>
              <w:t>15</w:t>
            </w:r>
          </w:p>
        </w:tc>
      </w:tr>
      <w:tr w:rsidR="000B6D1B" w:rsidRPr="00612A4A" w14:paraId="07661345"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AF33E" w14:textId="77777777" w:rsidR="000B6D1B" w:rsidRPr="00612A4A" w:rsidRDefault="000B6D1B" w:rsidP="00D64B86">
            <w:pPr>
              <w:jc w:val="center"/>
              <w:rPr>
                <w:szCs w:val="24"/>
                <w:lang w:eastAsia="lt-LT"/>
              </w:rPr>
            </w:pPr>
            <w:r w:rsidRPr="00612A4A">
              <w:rPr>
                <w:sz w:val="22"/>
                <w:lang w:eastAsia="lt-LT"/>
              </w:rPr>
              <w:t>9.</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5E28477" w14:textId="77777777" w:rsidR="000B6D1B" w:rsidRPr="00612A4A" w:rsidRDefault="000B6D1B" w:rsidP="00D64B86">
            <w:pPr>
              <w:rPr>
                <w:szCs w:val="24"/>
                <w:lang w:eastAsia="lt-LT"/>
              </w:rPr>
            </w:pPr>
            <w:r w:rsidRPr="00612A4A">
              <w:rPr>
                <w:sz w:val="22"/>
                <w:lang w:eastAsia="lt-LT"/>
              </w:rPr>
              <w:t>Rišamieji gruntai</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E009522" w14:textId="77777777" w:rsidR="000B6D1B" w:rsidRPr="00612A4A" w:rsidRDefault="000B6D1B" w:rsidP="00D64B86">
            <w:pPr>
              <w:jc w:val="center"/>
              <w:rPr>
                <w:szCs w:val="24"/>
                <w:lang w:eastAsia="lt-LT"/>
              </w:rPr>
            </w:pPr>
            <w:r w:rsidRPr="00612A4A">
              <w:rPr>
                <w:sz w:val="22"/>
                <w:lang w:eastAsia="lt-LT"/>
              </w:rPr>
              <w:t>15</w:t>
            </w:r>
          </w:p>
        </w:tc>
      </w:tr>
      <w:tr w:rsidR="000B6D1B" w:rsidRPr="00612A4A" w14:paraId="59A947D0"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F057" w14:textId="77777777" w:rsidR="000B6D1B" w:rsidRPr="00612A4A" w:rsidRDefault="000B6D1B" w:rsidP="00D64B86">
            <w:pPr>
              <w:jc w:val="center"/>
              <w:rPr>
                <w:szCs w:val="24"/>
                <w:lang w:eastAsia="lt-LT"/>
              </w:rPr>
            </w:pPr>
            <w:r w:rsidRPr="00612A4A">
              <w:rPr>
                <w:sz w:val="22"/>
                <w:lang w:eastAsia="lt-LT"/>
              </w:rPr>
              <w:t>10.</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5FA353D" w14:textId="77777777" w:rsidR="000B6D1B" w:rsidRPr="00612A4A" w:rsidRDefault="000B6D1B" w:rsidP="00D64B86">
            <w:pPr>
              <w:rPr>
                <w:szCs w:val="24"/>
                <w:lang w:eastAsia="lt-LT"/>
              </w:rPr>
            </w:pPr>
            <w:r w:rsidRPr="00612A4A">
              <w:rPr>
                <w:sz w:val="22"/>
                <w:lang w:eastAsia="lt-LT"/>
              </w:rPr>
              <w:t>Vienkomponentės dangos dengimo medžiagos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AD933E9" w14:textId="77777777" w:rsidR="000B6D1B" w:rsidRPr="00612A4A" w:rsidRDefault="000B6D1B" w:rsidP="00D64B86">
            <w:pPr>
              <w:jc w:val="center"/>
              <w:rPr>
                <w:szCs w:val="24"/>
                <w:lang w:eastAsia="lt-LT"/>
              </w:rPr>
            </w:pPr>
            <w:r w:rsidRPr="00612A4A">
              <w:rPr>
                <w:sz w:val="22"/>
                <w:lang w:eastAsia="lt-LT"/>
              </w:rPr>
              <w:t>100</w:t>
            </w:r>
          </w:p>
        </w:tc>
      </w:tr>
      <w:tr w:rsidR="000B6D1B" w:rsidRPr="00612A4A" w14:paraId="79A099D9"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4CC0E" w14:textId="77777777" w:rsidR="000B6D1B" w:rsidRPr="00612A4A" w:rsidRDefault="000B6D1B" w:rsidP="00D64B86">
            <w:pPr>
              <w:jc w:val="center"/>
              <w:rPr>
                <w:szCs w:val="24"/>
                <w:lang w:eastAsia="lt-LT"/>
              </w:rPr>
            </w:pPr>
            <w:r w:rsidRPr="00612A4A">
              <w:rPr>
                <w:sz w:val="22"/>
                <w:lang w:eastAsia="lt-LT"/>
              </w:rPr>
              <w:t>11.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5A851897" w14:textId="77777777" w:rsidR="000B6D1B" w:rsidRPr="00612A4A" w:rsidRDefault="000B6D1B" w:rsidP="00D64B86">
            <w:pPr>
              <w:rPr>
                <w:szCs w:val="24"/>
                <w:lang w:eastAsia="lt-LT"/>
              </w:rPr>
            </w:pPr>
            <w:r w:rsidRPr="00612A4A">
              <w:rPr>
                <w:sz w:val="22"/>
                <w:lang w:eastAsia="lt-LT"/>
              </w:rPr>
              <w:t>Dvikomponentės reaktyviosios dangos, skirtos specialiam galutiniam naudojimui (pvz., grindims)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F0D3B16" w14:textId="77777777" w:rsidR="000B6D1B" w:rsidRPr="00612A4A" w:rsidRDefault="000B6D1B" w:rsidP="00D64B86">
            <w:pPr>
              <w:jc w:val="center"/>
              <w:rPr>
                <w:szCs w:val="24"/>
                <w:lang w:eastAsia="lt-LT"/>
              </w:rPr>
            </w:pPr>
            <w:r w:rsidRPr="00612A4A">
              <w:rPr>
                <w:sz w:val="22"/>
                <w:lang w:eastAsia="lt-LT"/>
              </w:rPr>
              <w:t>100</w:t>
            </w:r>
          </w:p>
        </w:tc>
      </w:tr>
      <w:tr w:rsidR="000B6D1B" w:rsidRPr="00612A4A" w14:paraId="2FCE4B35"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B1863" w14:textId="77777777" w:rsidR="000B6D1B" w:rsidRPr="00612A4A" w:rsidRDefault="000B6D1B" w:rsidP="00D64B86">
            <w:pPr>
              <w:jc w:val="center"/>
              <w:rPr>
                <w:szCs w:val="24"/>
                <w:lang w:eastAsia="lt-LT"/>
              </w:rPr>
            </w:pPr>
            <w:r w:rsidRPr="00612A4A">
              <w:rPr>
                <w:sz w:val="22"/>
                <w:lang w:eastAsia="lt-LT"/>
              </w:rPr>
              <w:t>12.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3235FDC" w14:textId="77777777" w:rsidR="000B6D1B" w:rsidRPr="00612A4A" w:rsidRDefault="000B6D1B" w:rsidP="00D64B86">
            <w:pPr>
              <w:rPr>
                <w:szCs w:val="24"/>
                <w:lang w:eastAsia="lt-LT"/>
              </w:rPr>
            </w:pPr>
            <w:r w:rsidRPr="00612A4A">
              <w:rPr>
                <w:sz w:val="22"/>
                <w:lang w:eastAsia="lt-LT"/>
              </w:rPr>
              <w:t>Dekoratyvinės dangos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F216938" w14:textId="77777777" w:rsidR="000B6D1B" w:rsidRPr="00612A4A" w:rsidRDefault="000B6D1B" w:rsidP="00D64B86">
            <w:pPr>
              <w:jc w:val="center"/>
              <w:rPr>
                <w:szCs w:val="24"/>
                <w:lang w:eastAsia="lt-LT"/>
              </w:rPr>
            </w:pPr>
            <w:r w:rsidRPr="00612A4A">
              <w:rPr>
                <w:sz w:val="22"/>
                <w:lang w:eastAsia="lt-LT"/>
              </w:rPr>
              <w:t>90</w:t>
            </w:r>
          </w:p>
        </w:tc>
      </w:tr>
      <w:tr w:rsidR="000B6D1B" w:rsidRPr="00612A4A" w14:paraId="4E0DFAFD" w14:textId="77777777" w:rsidTr="00D64B8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D22" w14:textId="77777777" w:rsidR="000B6D1B" w:rsidRPr="00612A4A" w:rsidRDefault="000B6D1B" w:rsidP="00D64B86">
            <w:pPr>
              <w:jc w:val="center"/>
              <w:rPr>
                <w:szCs w:val="24"/>
                <w:lang w:eastAsia="lt-LT"/>
              </w:rPr>
            </w:pPr>
            <w:r w:rsidRPr="00612A4A">
              <w:rPr>
                <w:sz w:val="22"/>
                <w:lang w:eastAsia="lt-LT"/>
              </w:rPr>
              <w:t>13.</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5126C2C3" w14:textId="77777777" w:rsidR="000B6D1B" w:rsidRPr="00612A4A" w:rsidRDefault="000B6D1B" w:rsidP="00D64B86">
            <w:pPr>
              <w:rPr>
                <w:szCs w:val="24"/>
                <w:lang w:eastAsia="lt-LT"/>
              </w:rPr>
            </w:pPr>
            <w:r w:rsidRPr="00612A4A">
              <w:rPr>
                <w:sz w:val="22"/>
                <w:lang w:eastAsia="lt-LT"/>
              </w:rPr>
              <w:t>Antikoroziniai dažai</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70AA2A2" w14:textId="77777777" w:rsidR="000B6D1B" w:rsidRPr="00612A4A" w:rsidRDefault="000B6D1B" w:rsidP="00D64B86">
            <w:pPr>
              <w:jc w:val="center"/>
              <w:rPr>
                <w:szCs w:val="24"/>
                <w:lang w:eastAsia="lt-LT"/>
              </w:rPr>
            </w:pPr>
            <w:r w:rsidRPr="00612A4A">
              <w:rPr>
                <w:sz w:val="22"/>
                <w:lang w:eastAsia="lt-LT"/>
              </w:rPr>
              <w:t>80</w:t>
            </w:r>
          </w:p>
        </w:tc>
      </w:tr>
    </w:tbl>
    <w:p w14:paraId="0962A975" w14:textId="77777777" w:rsidR="000B6D1B" w:rsidRPr="00612A4A" w:rsidRDefault="000B6D1B" w:rsidP="000B6D1B">
      <w:pPr>
        <w:ind w:firstLine="851"/>
        <w:jc w:val="both"/>
        <w:rPr>
          <w:color w:val="000000"/>
          <w:szCs w:val="24"/>
          <w:lang w:eastAsia="lt-LT"/>
        </w:rPr>
      </w:pPr>
    </w:p>
    <w:p w14:paraId="290BB669" w14:textId="77777777" w:rsidR="000B6D1B" w:rsidRPr="00612A4A" w:rsidRDefault="000B6D1B" w:rsidP="00CE66C4">
      <w:pPr>
        <w:spacing w:line="276" w:lineRule="atLeast"/>
        <w:ind w:firstLine="851"/>
        <w:jc w:val="both"/>
        <w:rPr>
          <w:color w:val="000000"/>
          <w:szCs w:val="24"/>
          <w:lang w:eastAsia="lt-LT"/>
        </w:rPr>
      </w:pPr>
      <w:bookmarkStart w:id="7" w:name="part_74ed78eb3c97430a9960b4263f97e677"/>
      <w:bookmarkEnd w:id="7"/>
      <w:r w:rsidRPr="00612A4A">
        <w:rPr>
          <w:color w:val="000000"/>
          <w:szCs w:val="24"/>
          <w:lang w:eastAsia="lt-LT"/>
        </w:rPr>
        <w:lastRenderedPageBreak/>
        <w:t>17.2. patalpų vidaus ir išorės dažų sudėtyje neturi būti daugiau kaip 0,01 proc. pagal masę pavojingų cheminių medžiagų, klasifikuojamų priskiriant bet kurią iš nurodytų pavojingumo frazę pagal Reglamentą (EB) Nr. 1272/2008: toksiškos ar labai toksiškos (H300, H301, H304, H310, H311, H330, H331), toksiška patekus į akis (EUH070), kenkia organams (H370), galinčios pakenkti organams (H371), veikdamos ilgą laiką pakenkia kai kuriems organams (H372, H373), galinčios sukelti alerginę odos reakciją (H317), įkvėpus gali sukelti alerginę reakciją, astmos simptomus arba apsunkinti kvėpavimą (H334), sukeliančios paveldimus genetinius defektus (H340, H341), kancerogeninės (H350, H350i, H351), toksiškos reprodukcijai (H360D, H360F, H360FD, H360Fd, H360Df, H361f, H361d, H361fd, H362), pavojingos vandens aplinkai H400, H410, H411, H412), gali sukelti ilgalaikį kenksmingą poveikį vandens organizmams (H413), pavojinga ozono sluoksniui (EUH059).</w:t>
      </w:r>
      <w:r w:rsidRPr="00612A4A">
        <w:rPr>
          <w:b/>
          <w:bCs/>
          <w:color w:val="000000"/>
          <w:szCs w:val="24"/>
          <w:lang w:eastAsia="lt-LT"/>
        </w:rPr>
        <w:t> </w:t>
      </w:r>
    </w:p>
    <w:p w14:paraId="4161A9DE" w14:textId="77777777" w:rsidR="000B6D1B" w:rsidRPr="00612A4A" w:rsidRDefault="000B6D1B" w:rsidP="000B6D1B">
      <w:pPr>
        <w:ind w:firstLine="851"/>
        <w:jc w:val="both"/>
        <w:rPr>
          <w:color w:val="000000"/>
          <w:szCs w:val="24"/>
          <w:lang w:eastAsia="lt-LT"/>
        </w:rPr>
      </w:pPr>
      <w:bookmarkStart w:id="8" w:name="part_990ccf7ecc424e87a82615173ddd446b"/>
      <w:bookmarkEnd w:id="8"/>
      <w:r w:rsidRPr="00612A4A">
        <w:rPr>
          <w:color w:val="000000"/>
          <w:szCs w:val="24"/>
          <w:lang w:eastAsia="lt-LT"/>
        </w:rPr>
        <w:t>18. Termoizoliacinės medžiagos:</w:t>
      </w:r>
    </w:p>
    <w:p w14:paraId="5ABE8DAD" w14:textId="77777777" w:rsidR="000B6D1B" w:rsidRPr="00612A4A" w:rsidRDefault="000B6D1B" w:rsidP="000B6D1B">
      <w:pPr>
        <w:ind w:firstLine="851"/>
        <w:jc w:val="both"/>
        <w:rPr>
          <w:color w:val="000000"/>
          <w:szCs w:val="24"/>
          <w:lang w:eastAsia="lt-LT"/>
        </w:rPr>
      </w:pPr>
      <w:bookmarkStart w:id="9" w:name="part_0bc307ec0c1949a1996db6396b0257cd"/>
      <w:bookmarkEnd w:id="9"/>
      <w:r w:rsidRPr="00612A4A">
        <w:rPr>
          <w:color w:val="000000"/>
          <w:szCs w:val="24"/>
          <w:lang w:eastAsia="lt-LT"/>
        </w:rPr>
        <w:t>18.1. produktas neturi išskirti šių cheminių medžiagų:</w:t>
      </w:r>
    </w:p>
    <w:p w14:paraId="5B4E127E" w14:textId="77777777" w:rsidR="000B6D1B" w:rsidRPr="00612A4A" w:rsidRDefault="000B6D1B" w:rsidP="000B6D1B">
      <w:pPr>
        <w:ind w:firstLine="851"/>
        <w:jc w:val="both"/>
        <w:rPr>
          <w:color w:val="000000"/>
          <w:szCs w:val="24"/>
          <w:lang w:eastAsia="lt-LT"/>
        </w:rPr>
      </w:pPr>
      <w:bookmarkStart w:id="10" w:name="part_d6d4b843343a4480b930f851df3129bb"/>
      <w:bookmarkEnd w:id="10"/>
      <w:r w:rsidRPr="00612A4A">
        <w:rPr>
          <w:color w:val="000000"/>
          <w:szCs w:val="24"/>
          <w:lang w:eastAsia="lt-LT"/>
        </w:rPr>
        <w:t>18.1.1. fluorintų šiltnamio efektą sukeliančių dujų pagal Europos Parlamento ir Tarybos reglamentą (EB) Nr. 842/2006 dėl fluorintų šiltnamio efektą sukeliančių dujų;</w:t>
      </w:r>
    </w:p>
    <w:p w14:paraId="5D285426" w14:textId="77777777" w:rsidR="000B6D1B" w:rsidRPr="00612A4A" w:rsidRDefault="000B6D1B" w:rsidP="000B6D1B">
      <w:pPr>
        <w:ind w:firstLine="851"/>
        <w:jc w:val="both"/>
        <w:rPr>
          <w:color w:val="000000"/>
          <w:szCs w:val="24"/>
          <w:lang w:eastAsia="lt-LT"/>
        </w:rPr>
      </w:pPr>
      <w:bookmarkStart w:id="11" w:name="part_a27e8938e52b45038b328e2f546853b0"/>
      <w:bookmarkEnd w:id="11"/>
      <w:r w:rsidRPr="00612A4A">
        <w:rPr>
          <w:color w:val="000000"/>
          <w:szCs w:val="24"/>
          <w:lang w:eastAsia="lt-LT"/>
        </w:rPr>
        <w:t>18.1.2. pavojingų cheminių medžiagų, klasifikuojamų priskiriant bet kurią iš nurodytų pavojingumo frazę pagal Reglamentą (EB) Nr. 1272/2008: kancerogeninės (H350, H350i, H351), toksiškos reprodukcijai (H360D, H360F, H360FD, H360Fd, H360Df, H361f, H361d, H361fd), toksiškos ar labai toksiškos (H300, H301, H310, H311, H330, H331), įkvėpus gali sukelti alerginę reakciją, astmos simptomus arba apsunkinti kvėpavimą (H334), sukeliančios paveldimus genetinius defektus (H340, H341), veikdamos ilgą laiką pakenkia kai kuriems organams (H372, H373), galinčios pakenkti organams (H371), pavojingos vandens aplinkai (H411);</w:t>
      </w:r>
    </w:p>
    <w:p w14:paraId="6F31109D" w14:textId="77777777" w:rsidR="000B6D1B" w:rsidRPr="00612A4A" w:rsidRDefault="000B6D1B" w:rsidP="00CE66C4">
      <w:pPr>
        <w:ind w:firstLine="851"/>
        <w:jc w:val="both"/>
        <w:rPr>
          <w:color w:val="000000"/>
          <w:szCs w:val="24"/>
          <w:lang w:eastAsia="lt-LT"/>
        </w:rPr>
      </w:pPr>
      <w:bookmarkStart w:id="12" w:name="part_0150e8651a8645a28c6ea09625e7c8bd"/>
      <w:bookmarkEnd w:id="12"/>
      <w:r w:rsidRPr="00612A4A">
        <w:rPr>
          <w:color w:val="000000"/>
          <w:szCs w:val="24"/>
          <w:lang w:eastAsia="lt-LT"/>
        </w:rPr>
        <w:t>18.2. produktų, pagamintų medienos pagrindu (pvz., kamštinė medžiaga, celiuliozė), gamyboje naudojama mediena ar jos dalis turi būti iš miškų, sertifikuotų naudojant FSC ar PEFC miškų sertifikavimo sistemas arba lygiavertes sertifikavimo sistemas.</w:t>
      </w:r>
    </w:p>
    <w:p w14:paraId="48575CEF" w14:textId="77777777" w:rsidR="000B6D1B" w:rsidRPr="00612A4A" w:rsidRDefault="000B6D1B" w:rsidP="000B6D1B">
      <w:pPr>
        <w:ind w:firstLine="851"/>
        <w:jc w:val="both"/>
        <w:rPr>
          <w:color w:val="000000"/>
          <w:szCs w:val="24"/>
          <w:lang w:eastAsia="lt-LT"/>
        </w:rPr>
      </w:pPr>
      <w:bookmarkStart w:id="13" w:name="part_3e05a095920048368bd2bdaf7763bdc6"/>
      <w:bookmarkEnd w:id="13"/>
      <w:r w:rsidRPr="00612A4A">
        <w:rPr>
          <w:color w:val="000000"/>
          <w:szCs w:val="24"/>
          <w:lang w:eastAsia="lt-LT"/>
        </w:rPr>
        <w:t>19. Gipso plokštės:</w:t>
      </w:r>
    </w:p>
    <w:p w14:paraId="5A950714" w14:textId="77777777" w:rsidR="000B6D1B" w:rsidRPr="00612A4A" w:rsidRDefault="000B6D1B" w:rsidP="000B6D1B">
      <w:pPr>
        <w:ind w:firstLine="851"/>
        <w:jc w:val="both"/>
        <w:rPr>
          <w:color w:val="000000"/>
          <w:szCs w:val="24"/>
          <w:lang w:eastAsia="lt-LT"/>
        </w:rPr>
      </w:pPr>
      <w:bookmarkStart w:id="14" w:name="part_6cce67b7049d4773a84adb8b05e1ae20"/>
      <w:bookmarkEnd w:id="14"/>
      <w:r w:rsidRPr="00612A4A">
        <w:rPr>
          <w:color w:val="000000"/>
          <w:szCs w:val="24"/>
          <w:lang w:eastAsia="lt-LT"/>
        </w:rPr>
        <w:t>19.</w:t>
      </w:r>
      <w:r w:rsidRPr="00612A4A">
        <w:rPr>
          <w:smallCaps/>
          <w:color w:val="000000"/>
          <w:szCs w:val="24"/>
          <w:lang w:eastAsia="lt-LT"/>
        </w:rPr>
        <w:t>1. </w:t>
      </w:r>
      <w:r w:rsidRPr="00612A4A">
        <w:rPr>
          <w:color w:val="000000"/>
          <w:szCs w:val="24"/>
          <w:lang w:eastAsia="lt-LT"/>
        </w:rPr>
        <w:t>gipso plokščių sudėtyje turi būti ne mažiau kaip 2 proc. perdirbtų medžiagų;</w:t>
      </w:r>
    </w:p>
    <w:p w14:paraId="223D6455" w14:textId="77777777" w:rsidR="000B6D1B" w:rsidRPr="00612A4A" w:rsidRDefault="000B6D1B" w:rsidP="00CE66C4">
      <w:pPr>
        <w:ind w:firstLine="851"/>
        <w:jc w:val="both"/>
        <w:rPr>
          <w:color w:val="000000"/>
          <w:szCs w:val="24"/>
          <w:lang w:eastAsia="lt-LT"/>
        </w:rPr>
      </w:pPr>
      <w:bookmarkStart w:id="15" w:name="part_1726b4b179f748648a00ec5fb8f92a2f"/>
      <w:bookmarkEnd w:id="15"/>
      <w:r w:rsidRPr="00612A4A">
        <w:rPr>
          <w:color w:val="000000"/>
          <w:szCs w:val="24"/>
          <w:lang w:eastAsia="lt-LT"/>
        </w:rPr>
        <w:t>19.2. gipso plokščių gamybai naudojamas popierius turi būti pagamintas iš 100 proc. perdirbto popieriaus plaušų ar ne daugiau kaip 5 proc. pirminės medienos plaušų, gautų iš miškų, sertifikuotų naudojant FSC ar PEFC miškų sertifikavimo sistemas arba lygiavertes sertifikavimo sistemas, kita dalis – iš perdirbto popieriaus plaušų.</w:t>
      </w:r>
    </w:p>
    <w:p w14:paraId="283ED118" w14:textId="77777777" w:rsidR="000B6D1B" w:rsidRPr="00612A4A" w:rsidRDefault="000B6D1B" w:rsidP="000B6D1B">
      <w:pPr>
        <w:ind w:firstLine="851"/>
        <w:jc w:val="both"/>
        <w:rPr>
          <w:color w:val="000000"/>
          <w:szCs w:val="24"/>
          <w:lang w:eastAsia="lt-LT"/>
        </w:rPr>
      </w:pPr>
      <w:bookmarkStart w:id="16" w:name="part_8f0f73e4a465495485bbe78da69f9666"/>
      <w:bookmarkEnd w:id="16"/>
      <w:r w:rsidRPr="00612A4A">
        <w:rPr>
          <w:color w:val="000000"/>
          <w:szCs w:val="24"/>
          <w:lang w:eastAsia="lt-LT"/>
        </w:rPr>
        <w:t>20. Plytelės:</w:t>
      </w:r>
    </w:p>
    <w:p w14:paraId="0CE852C0" w14:textId="77777777" w:rsidR="000B6D1B" w:rsidRPr="00612A4A" w:rsidRDefault="000B6D1B" w:rsidP="000B6D1B">
      <w:pPr>
        <w:ind w:firstLine="851"/>
        <w:jc w:val="both"/>
        <w:rPr>
          <w:color w:val="000000"/>
          <w:szCs w:val="24"/>
          <w:lang w:eastAsia="lt-LT"/>
        </w:rPr>
      </w:pPr>
      <w:bookmarkStart w:id="17" w:name="part_dd88e4c6f0c8404b8a716c80b8f8edbb"/>
      <w:bookmarkEnd w:id="17"/>
      <w:r w:rsidRPr="00612A4A">
        <w:rPr>
          <w:color w:val="000000"/>
          <w:szCs w:val="24"/>
          <w:lang w:eastAsia="lt-LT"/>
        </w:rPr>
        <w:t>20.1. produkto žaliavoje neturi būti pavojingų cheminių medžiagų ar jų junginių, klasifikuojamų priskiriant bet kurią iš nurodytų pavojingumo frazę pagal Reglamentą (EB) Nr. 1272/2008: kancerogeninės (H350, H350i), toksiškos reprodukcijai (H360D, H360F, H360FD, H360Fd, H360Df, H361f, H361d, H361fd,), sukeliančios paveldimus genetinius defektus (H340, H341), veikdamos ilgą laiką pakenkia kai kuriems organams (H372, H373), galinčios pakenkti organams (H371), pavojingos vandens aplinkai (H400, H410, H411, H412, H413), pavojingos ozono sluoksniui (EUH059);</w:t>
      </w:r>
    </w:p>
    <w:p w14:paraId="47BB38BC" w14:textId="77777777" w:rsidR="000B6D1B" w:rsidRPr="00612A4A" w:rsidRDefault="000B6D1B" w:rsidP="000B6D1B">
      <w:pPr>
        <w:ind w:firstLine="851"/>
        <w:jc w:val="both"/>
        <w:rPr>
          <w:color w:val="000000"/>
          <w:szCs w:val="24"/>
          <w:lang w:eastAsia="lt-LT"/>
        </w:rPr>
      </w:pPr>
      <w:bookmarkStart w:id="18" w:name="part_4da3739c3b614b8fa111559e4e62f279"/>
      <w:bookmarkEnd w:id="18"/>
      <w:r w:rsidRPr="00612A4A">
        <w:rPr>
          <w:color w:val="000000"/>
          <w:szCs w:val="24"/>
          <w:lang w:eastAsia="lt-LT"/>
        </w:rPr>
        <w:lastRenderedPageBreak/>
        <w:t>20.2. glazūruotų plytelių prieduose naudojamo švino, kadmio ir stibio (arba jų junginių) turi būti ne daugiau kaip:</w:t>
      </w:r>
    </w:p>
    <w:tbl>
      <w:tblPr>
        <w:tblW w:w="0" w:type="auto"/>
        <w:tblInd w:w="675" w:type="dxa"/>
        <w:tblCellMar>
          <w:left w:w="0" w:type="dxa"/>
          <w:right w:w="0" w:type="dxa"/>
        </w:tblCellMar>
        <w:tblLook w:val="04A0" w:firstRow="1" w:lastRow="0" w:firstColumn="1" w:lastColumn="0" w:noHBand="0" w:noVBand="1"/>
      </w:tblPr>
      <w:tblGrid>
        <w:gridCol w:w="709"/>
        <w:gridCol w:w="2126"/>
        <w:gridCol w:w="2694"/>
      </w:tblGrid>
      <w:tr w:rsidR="000B6D1B" w:rsidRPr="00612A4A" w14:paraId="2CD0F37D" w14:textId="77777777" w:rsidTr="00D64B8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7C6BD8" w14:textId="77777777" w:rsidR="000B6D1B" w:rsidRPr="00612A4A" w:rsidRDefault="000B6D1B" w:rsidP="00D64B86">
            <w:pPr>
              <w:jc w:val="center"/>
              <w:rPr>
                <w:szCs w:val="24"/>
                <w:lang w:eastAsia="lt-LT"/>
              </w:rPr>
            </w:pPr>
            <w:r w:rsidRPr="00612A4A">
              <w:rPr>
                <w:sz w:val="22"/>
                <w:lang w:eastAsia="lt-LT"/>
              </w:rPr>
              <w:t>Eil.</w:t>
            </w:r>
          </w:p>
          <w:p w14:paraId="64423EB8" w14:textId="77777777" w:rsidR="000B6D1B" w:rsidRPr="00612A4A" w:rsidRDefault="000B6D1B" w:rsidP="00D64B86">
            <w:pPr>
              <w:jc w:val="center"/>
              <w:rPr>
                <w:szCs w:val="24"/>
                <w:lang w:eastAsia="lt-LT"/>
              </w:rPr>
            </w:pPr>
            <w:r w:rsidRPr="00612A4A">
              <w:rPr>
                <w:sz w:val="22"/>
                <w:lang w:eastAsia="lt-LT"/>
              </w:rPr>
              <w:t>Nr.</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CFF6B" w14:textId="77777777" w:rsidR="000B6D1B" w:rsidRPr="00612A4A" w:rsidRDefault="000B6D1B" w:rsidP="00D64B86">
            <w:pPr>
              <w:jc w:val="center"/>
              <w:rPr>
                <w:szCs w:val="24"/>
                <w:lang w:eastAsia="lt-LT"/>
              </w:rPr>
            </w:pPr>
            <w:r w:rsidRPr="00612A4A">
              <w:rPr>
                <w:sz w:val="22"/>
                <w:lang w:eastAsia="lt-LT"/>
              </w:rPr>
              <w:t>Pavadinimas</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8F9F42" w14:textId="77777777" w:rsidR="000B6D1B" w:rsidRPr="00612A4A" w:rsidRDefault="000B6D1B" w:rsidP="00D64B86">
            <w:pPr>
              <w:jc w:val="center"/>
              <w:rPr>
                <w:szCs w:val="24"/>
                <w:lang w:eastAsia="lt-LT"/>
              </w:rPr>
            </w:pPr>
            <w:r w:rsidRPr="00612A4A">
              <w:rPr>
                <w:sz w:val="22"/>
                <w:lang w:eastAsia="lt-LT"/>
              </w:rPr>
              <w:t>Ribinė vertė,</w:t>
            </w:r>
          </w:p>
          <w:p w14:paraId="0CDD9CB1" w14:textId="77777777" w:rsidR="000B6D1B" w:rsidRPr="00612A4A" w:rsidRDefault="000B6D1B" w:rsidP="00D64B86">
            <w:pPr>
              <w:jc w:val="center"/>
              <w:rPr>
                <w:szCs w:val="24"/>
                <w:lang w:eastAsia="lt-LT"/>
              </w:rPr>
            </w:pPr>
            <w:r w:rsidRPr="00612A4A">
              <w:rPr>
                <w:sz w:val="22"/>
                <w:lang w:eastAsia="lt-LT"/>
              </w:rPr>
              <w:t>proc. nuo glazūrų svorio</w:t>
            </w:r>
          </w:p>
        </w:tc>
      </w:tr>
      <w:tr w:rsidR="000B6D1B" w:rsidRPr="00612A4A" w14:paraId="44ACEBB0"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9DD4C" w14:textId="77777777" w:rsidR="000B6D1B" w:rsidRPr="00612A4A" w:rsidRDefault="000B6D1B" w:rsidP="00D64B86">
            <w:pPr>
              <w:jc w:val="center"/>
              <w:rPr>
                <w:szCs w:val="24"/>
                <w:lang w:eastAsia="lt-LT"/>
              </w:rPr>
            </w:pPr>
            <w:r w:rsidRPr="00612A4A">
              <w:rPr>
                <w:sz w:val="22"/>
                <w:lang w:eastAsia="lt-LT"/>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64B931C" w14:textId="77777777" w:rsidR="000B6D1B" w:rsidRPr="00612A4A" w:rsidRDefault="000B6D1B" w:rsidP="00D64B86">
            <w:pPr>
              <w:rPr>
                <w:szCs w:val="24"/>
                <w:lang w:eastAsia="lt-LT"/>
              </w:rPr>
            </w:pPr>
            <w:r w:rsidRPr="00612A4A">
              <w:rPr>
                <w:sz w:val="22"/>
                <w:lang w:eastAsia="lt-LT"/>
              </w:rPr>
              <w:t>Švinas (Pb)</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C578597" w14:textId="77777777" w:rsidR="000B6D1B" w:rsidRPr="00612A4A" w:rsidRDefault="000B6D1B" w:rsidP="00D64B86">
            <w:pPr>
              <w:jc w:val="center"/>
              <w:rPr>
                <w:szCs w:val="24"/>
                <w:lang w:eastAsia="lt-LT"/>
              </w:rPr>
            </w:pPr>
            <w:r w:rsidRPr="00612A4A">
              <w:rPr>
                <w:sz w:val="22"/>
                <w:lang w:eastAsia="lt-LT"/>
              </w:rPr>
              <w:t>0,5</w:t>
            </w:r>
          </w:p>
        </w:tc>
      </w:tr>
      <w:tr w:rsidR="000B6D1B" w:rsidRPr="00612A4A" w14:paraId="4B7B13FC"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AA644" w14:textId="77777777" w:rsidR="000B6D1B" w:rsidRPr="00612A4A" w:rsidRDefault="000B6D1B" w:rsidP="00D64B86">
            <w:pPr>
              <w:jc w:val="center"/>
              <w:rPr>
                <w:szCs w:val="24"/>
                <w:lang w:eastAsia="lt-LT"/>
              </w:rPr>
            </w:pPr>
            <w:r w:rsidRPr="00612A4A">
              <w:rPr>
                <w:sz w:val="22"/>
                <w:lang w:eastAsia="lt-LT"/>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72944B0" w14:textId="77777777" w:rsidR="000B6D1B" w:rsidRPr="00612A4A" w:rsidRDefault="000B6D1B" w:rsidP="00D64B86">
            <w:pPr>
              <w:rPr>
                <w:szCs w:val="24"/>
                <w:lang w:eastAsia="lt-LT"/>
              </w:rPr>
            </w:pPr>
            <w:r w:rsidRPr="00612A4A">
              <w:rPr>
                <w:sz w:val="22"/>
                <w:lang w:eastAsia="lt-LT"/>
              </w:rPr>
              <w:t>Kadmis (Cd)</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453CE070" w14:textId="77777777" w:rsidR="000B6D1B" w:rsidRPr="00612A4A" w:rsidRDefault="000B6D1B" w:rsidP="00D64B86">
            <w:pPr>
              <w:jc w:val="center"/>
              <w:rPr>
                <w:szCs w:val="24"/>
                <w:lang w:eastAsia="lt-LT"/>
              </w:rPr>
            </w:pPr>
            <w:r w:rsidRPr="00612A4A">
              <w:rPr>
                <w:sz w:val="22"/>
                <w:lang w:eastAsia="lt-LT"/>
              </w:rPr>
              <w:t>0,1</w:t>
            </w:r>
          </w:p>
        </w:tc>
      </w:tr>
      <w:tr w:rsidR="000B6D1B" w:rsidRPr="00612A4A" w14:paraId="0289B4E5"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A8895" w14:textId="77777777" w:rsidR="000B6D1B" w:rsidRPr="00612A4A" w:rsidRDefault="000B6D1B" w:rsidP="00D64B86">
            <w:pPr>
              <w:jc w:val="center"/>
              <w:rPr>
                <w:szCs w:val="24"/>
                <w:lang w:eastAsia="lt-LT"/>
              </w:rPr>
            </w:pPr>
            <w:r w:rsidRPr="00612A4A">
              <w:rPr>
                <w:sz w:val="22"/>
                <w:lang w:eastAsia="lt-LT"/>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E169465" w14:textId="77777777" w:rsidR="000B6D1B" w:rsidRPr="00612A4A" w:rsidRDefault="000B6D1B" w:rsidP="00D64B86">
            <w:pPr>
              <w:rPr>
                <w:szCs w:val="24"/>
                <w:lang w:eastAsia="lt-LT"/>
              </w:rPr>
            </w:pPr>
            <w:r w:rsidRPr="00612A4A">
              <w:rPr>
                <w:sz w:val="22"/>
                <w:lang w:eastAsia="lt-LT"/>
              </w:rPr>
              <w:t>Stibis (Sb)</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5347BF7B" w14:textId="77777777" w:rsidR="000B6D1B" w:rsidRPr="00612A4A" w:rsidRDefault="000B6D1B" w:rsidP="00D64B86">
            <w:pPr>
              <w:jc w:val="center"/>
              <w:rPr>
                <w:szCs w:val="24"/>
                <w:lang w:eastAsia="lt-LT"/>
              </w:rPr>
            </w:pPr>
            <w:r w:rsidRPr="00612A4A">
              <w:rPr>
                <w:sz w:val="22"/>
                <w:lang w:eastAsia="lt-LT"/>
              </w:rPr>
              <w:t>0,25</w:t>
            </w:r>
          </w:p>
        </w:tc>
      </w:tr>
    </w:tbl>
    <w:p w14:paraId="77ED552F" w14:textId="77777777" w:rsidR="000B6D1B" w:rsidRPr="00612A4A" w:rsidRDefault="000B6D1B" w:rsidP="000B6D1B">
      <w:pPr>
        <w:jc w:val="both"/>
        <w:rPr>
          <w:color w:val="000000"/>
          <w:szCs w:val="24"/>
          <w:lang w:eastAsia="lt-LT"/>
        </w:rPr>
      </w:pPr>
      <w:r w:rsidRPr="00612A4A">
        <w:rPr>
          <w:bCs/>
          <w:color w:val="000000"/>
          <w:szCs w:val="24"/>
          <w:lang w:eastAsia="lt-LT"/>
        </w:rPr>
        <w:t> </w:t>
      </w:r>
    </w:p>
    <w:p w14:paraId="66E9DB6B" w14:textId="77777777" w:rsidR="000B6D1B" w:rsidRDefault="000B6D1B" w:rsidP="000B6D1B">
      <w:pPr>
        <w:jc w:val="center"/>
        <w:rPr>
          <w:b/>
          <w:bCs/>
          <w:szCs w:val="24"/>
        </w:rPr>
      </w:pPr>
      <w:r>
        <w:rPr>
          <w:b/>
          <w:bCs/>
          <w:szCs w:val="24"/>
        </w:rPr>
        <w:t>XIV SKYRIUS</w:t>
      </w:r>
    </w:p>
    <w:p w14:paraId="349385A4" w14:textId="77777777" w:rsidR="000B6D1B" w:rsidRPr="00CE66C4" w:rsidRDefault="000B6D1B" w:rsidP="00CE66C4">
      <w:pPr>
        <w:jc w:val="center"/>
        <w:rPr>
          <w:b/>
          <w:bCs/>
          <w:szCs w:val="24"/>
        </w:rPr>
      </w:pPr>
      <w:r>
        <w:rPr>
          <w:b/>
          <w:bCs/>
          <w:szCs w:val="24"/>
        </w:rPr>
        <w:t>PATALPŲ APŠVIETIMAS</w:t>
      </w:r>
    </w:p>
    <w:p w14:paraId="1A7AC264" w14:textId="77777777" w:rsidR="000B6D1B" w:rsidRPr="00612A4A" w:rsidRDefault="000B6D1B" w:rsidP="00CE66C4">
      <w:pPr>
        <w:ind w:firstLine="851"/>
        <w:jc w:val="both"/>
        <w:rPr>
          <w:color w:val="000000"/>
          <w:szCs w:val="24"/>
          <w:lang w:eastAsia="lt-LT"/>
        </w:rPr>
      </w:pPr>
      <w:bookmarkStart w:id="19" w:name="part_78a4a81b6fa74159b697e69b48a1e9b9"/>
      <w:bookmarkEnd w:id="19"/>
      <w:r w:rsidRPr="00612A4A">
        <w:rPr>
          <w:color w:val="000000"/>
          <w:szCs w:val="24"/>
          <w:lang w:eastAsia="lt-LT"/>
        </w:rPr>
        <w:t>22. Elektros lempos:</w:t>
      </w:r>
      <w:r w:rsidRPr="00612A4A">
        <w:rPr>
          <w:b/>
          <w:bCs/>
          <w:color w:val="000000"/>
          <w:szCs w:val="24"/>
          <w:lang w:eastAsia="lt-LT"/>
        </w:rPr>
        <w:t> </w:t>
      </w:r>
      <w:r w:rsidRPr="00612A4A">
        <w:rPr>
          <w:color w:val="000000"/>
          <w:szCs w:val="24"/>
          <w:lang w:eastAsia="lt-LT"/>
        </w:rPr>
        <w:t>vadovaujantis Lietuvos Respublikos Vyriausybės 2015 m. birželio 17 d. nutarimu Nr. 621 „Dėl Perkančiosioms organizacijoms taikomų energijos vartojimo efektyvumo reikalavimų prekėms, paslaugoms ir pastatams“, prekės, kurios įtrauktos į Lietuvos Respublikos energetikos ministro 2015 m. birželio 18 d. įsakymu Nr. 1-154 „Dėl Prekių, išskyrus kelių transporto priemones, kurioms viešųjų pirkimų metu taikomi energijos vartojimo efektyvumo reikalavimai, sąrašo patvirtinimo“ patvirtintą Prekių, išskyrus kelių transporto priemones, kurioms viešųjų pirkimų metu taikomi energijos vartojimo efektyvumo reikalavimai, sąrašą, turi atitikti aukščiausio energinio efektyvumo klasę, nustatytą Europos Komisijos reglamentuose dėl gaminių energijos vartojimo efektyvumo ženklinimo reikalavimų. Jeigu minėti reikalavimai prekėms netaikomi, prekės turi atitikti Europos Komisijos reglamentuose dėl gaminių ekologinio projektavimo nustatytus efektyvaus energijos vartojimo kriterijus.</w:t>
      </w:r>
    </w:p>
    <w:p w14:paraId="728039B0" w14:textId="77777777" w:rsidR="000B6D1B" w:rsidRPr="00612A4A" w:rsidRDefault="000B6D1B" w:rsidP="000B6D1B">
      <w:pPr>
        <w:ind w:firstLine="851"/>
        <w:jc w:val="both"/>
        <w:rPr>
          <w:color w:val="000000"/>
          <w:szCs w:val="24"/>
          <w:lang w:eastAsia="lt-LT"/>
        </w:rPr>
      </w:pPr>
      <w:bookmarkStart w:id="20" w:name="part_cc1b1393002b4fb18019f1fa102b2869"/>
      <w:bookmarkEnd w:id="20"/>
      <w:r w:rsidRPr="00612A4A">
        <w:rPr>
          <w:color w:val="000000"/>
          <w:szCs w:val="24"/>
          <w:lang w:eastAsia="lt-LT"/>
        </w:rPr>
        <w:t>23. Patalpų apšvietimo projektavimo paslaugos:</w:t>
      </w:r>
    </w:p>
    <w:p w14:paraId="3C31FA17" w14:textId="77777777" w:rsidR="000B6D1B" w:rsidRPr="00612A4A" w:rsidRDefault="000B6D1B" w:rsidP="000B6D1B">
      <w:pPr>
        <w:ind w:firstLine="851"/>
        <w:jc w:val="both"/>
        <w:rPr>
          <w:color w:val="000000"/>
          <w:szCs w:val="24"/>
          <w:lang w:eastAsia="lt-LT"/>
        </w:rPr>
      </w:pPr>
      <w:bookmarkStart w:id="21" w:name="part_37f128a25826424781336acb1277c384"/>
      <w:bookmarkEnd w:id="21"/>
      <w:r w:rsidRPr="00612A4A">
        <w:rPr>
          <w:color w:val="000000"/>
          <w:szCs w:val="24"/>
          <w:lang w:eastAsia="lt-LT"/>
        </w:rPr>
        <w:t>23.1. jeigu patalpų apšvietimo įranga montuojama visame pastate, didžiausią visame pastate vartojamą apšvietimo galią padalijus iš bendro grindų ploto gauta vertė neturi viršyti šių verčių:</w:t>
      </w:r>
    </w:p>
    <w:tbl>
      <w:tblPr>
        <w:tblW w:w="0" w:type="dxa"/>
        <w:tblInd w:w="675" w:type="dxa"/>
        <w:tblCellMar>
          <w:left w:w="0" w:type="dxa"/>
          <w:right w:w="0" w:type="dxa"/>
        </w:tblCellMar>
        <w:tblLook w:val="04A0" w:firstRow="1" w:lastRow="0" w:firstColumn="1" w:lastColumn="0" w:noHBand="0" w:noVBand="1"/>
      </w:tblPr>
      <w:tblGrid>
        <w:gridCol w:w="699"/>
        <w:gridCol w:w="5581"/>
        <w:gridCol w:w="2379"/>
      </w:tblGrid>
      <w:tr w:rsidR="000B6D1B" w:rsidRPr="00612A4A" w14:paraId="56C54CD8" w14:textId="77777777" w:rsidTr="00D64B8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542696" w14:textId="77777777" w:rsidR="000B6D1B" w:rsidRPr="00612A4A" w:rsidRDefault="000B6D1B" w:rsidP="00D64B86">
            <w:pPr>
              <w:jc w:val="center"/>
              <w:rPr>
                <w:szCs w:val="24"/>
                <w:lang w:eastAsia="lt-LT"/>
              </w:rPr>
            </w:pPr>
            <w:r w:rsidRPr="00612A4A">
              <w:rPr>
                <w:sz w:val="22"/>
                <w:lang w:eastAsia="lt-LT"/>
              </w:rPr>
              <w:t>Eil.</w:t>
            </w:r>
          </w:p>
          <w:p w14:paraId="0B59275B" w14:textId="77777777" w:rsidR="000B6D1B" w:rsidRPr="00612A4A" w:rsidRDefault="000B6D1B" w:rsidP="00D64B86">
            <w:pPr>
              <w:jc w:val="center"/>
              <w:rPr>
                <w:szCs w:val="24"/>
                <w:lang w:eastAsia="lt-LT"/>
              </w:rPr>
            </w:pPr>
            <w:r w:rsidRPr="00612A4A">
              <w:rPr>
                <w:sz w:val="22"/>
                <w:lang w:eastAsia="lt-LT"/>
              </w:rPr>
              <w:t>Nr.</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477FE2" w14:textId="77777777" w:rsidR="000B6D1B" w:rsidRPr="00612A4A" w:rsidRDefault="000B6D1B" w:rsidP="00D64B86">
            <w:pPr>
              <w:jc w:val="center"/>
              <w:rPr>
                <w:szCs w:val="24"/>
                <w:lang w:eastAsia="lt-LT"/>
              </w:rPr>
            </w:pPr>
            <w:r w:rsidRPr="00612A4A">
              <w:rPr>
                <w:sz w:val="22"/>
                <w:lang w:eastAsia="lt-LT"/>
              </w:rPr>
              <w:t>Pastatų paskirtis</w:t>
            </w:r>
          </w:p>
        </w:tc>
        <w:tc>
          <w:tcPr>
            <w:tcW w:w="2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1F94A" w14:textId="77777777" w:rsidR="000B6D1B" w:rsidRPr="00612A4A" w:rsidRDefault="000B6D1B" w:rsidP="00D64B86">
            <w:pPr>
              <w:jc w:val="center"/>
              <w:rPr>
                <w:szCs w:val="24"/>
                <w:lang w:eastAsia="lt-LT"/>
              </w:rPr>
            </w:pPr>
            <w:r w:rsidRPr="00612A4A">
              <w:rPr>
                <w:sz w:val="22"/>
                <w:lang w:eastAsia="lt-LT"/>
              </w:rPr>
              <w:t>Apšvietimo galios tankis, W/m</w:t>
            </w:r>
            <w:r w:rsidRPr="00612A4A">
              <w:rPr>
                <w:sz w:val="22"/>
                <w:vertAlign w:val="superscript"/>
                <w:lang w:eastAsia="lt-LT"/>
              </w:rPr>
              <w:t>2</w:t>
            </w:r>
          </w:p>
        </w:tc>
      </w:tr>
      <w:tr w:rsidR="000B6D1B" w:rsidRPr="00612A4A" w14:paraId="36727B3A"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E6D0" w14:textId="77777777" w:rsidR="000B6D1B" w:rsidRPr="00612A4A" w:rsidRDefault="000B6D1B" w:rsidP="00D64B86">
            <w:pPr>
              <w:jc w:val="center"/>
              <w:rPr>
                <w:szCs w:val="24"/>
                <w:lang w:eastAsia="lt-LT"/>
              </w:rPr>
            </w:pPr>
            <w:r w:rsidRPr="00612A4A">
              <w:rPr>
                <w:sz w:val="22"/>
                <w:lang w:eastAsia="lt-LT"/>
              </w:rPr>
              <w:t>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1A0AC6E" w14:textId="77777777" w:rsidR="000B6D1B" w:rsidRPr="00612A4A" w:rsidRDefault="000B6D1B" w:rsidP="00D64B86">
            <w:pPr>
              <w:rPr>
                <w:szCs w:val="24"/>
                <w:lang w:eastAsia="lt-LT"/>
              </w:rPr>
            </w:pPr>
            <w:r w:rsidRPr="00612A4A">
              <w:rPr>
                <w:sz w:val="22"/>
                <w:lang w:eastAsia="lt-LT"/>
              </w:rPr>
              <w:t>Garažų</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7C03BCE4" w14:textId="77777777" w:rsidR="000B6D1B" w:rsidRPr="00612A4A" w:rsidRDefault="000B6D1B" w:rsidP="00D64B86">
            <w:pPr>
              <w:jc w:val="center"/>
              <w:rPr>
                <w:szCs w:val="24"/>
                <w:lang w:eastAsia="lt-LT"/>
              </w:rPr>
            </w:pPr>
            <w:r w:rsidRPr="00612A4A">
              <w:rPr>
                <w:sz w:val="22"/>
                <w:lang w:eastAsia="lt-LT"/>
              </w:rPr>
              <w:t>2,5</w:t>
            </w:r>
          </w:p>
        </w:tc>
      </w:tr>
      <w:tr w:rsidR="000B6D1B" w:rsidRPr="00612A4A" w14:paraId="3D272119"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E3869" w14:textId="77777777" w:rsidR="000B6D1B" w:rsidRPr="00612A4A" w:rsidRDefault="000B6D1B" w:rsidP="00D64B86">
            <w:pPr>
              <w:jc w:val="center"/>
              <w:rPr>
                <w:szCs w:val="24"/>
                <w:lang w:eastAsia="lt-LT"/>
              </w:rPr>
            </w:pPr>
            <w:r w:rsidRPr="00612A4A">
              <w:rPr>
                <w:sz w:val="22"/>
                <w:lang w:eastAsia="lt-LT"/>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2DF6F3E8" w14:textId="77777777" w:rsidR="000B6D1B" w:rsidRPr="00612A4A" w:rsidRDefault="000B6D1B" w:rsidP="00D64B86">
            <w:pPr>
              <w:rPr>
                <w:szCs w:val="24"/>
                <w:lang w:eastAsia="lt-LT"/>
              </w:rPr>
            </w:pPr>
            <w:r w:rsidRPr="00612A4A">
              <w:rPr>
                <w:sz w:val="22"/>
                <w:lang w:eastAsia="lt-LT"/>
              </w:rPr>
              <w:t>Administracinė (teismas, paštas)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75F7C400" w14:textId="77777777" w:rsidR="000B6D1B" w:rsidRPr="00612A4A" w:rsidRDefault="000B6D1B" w:rsidP="00D64B86">
            <w:pPr>
              <w:jc w:val="center"/>
              <w:rPr>
                <w:szCs w:val="24"/>
                <w:lang w:eastAsia="lt-LT"/>
              </w:rPr>
            </w:pPr>
            <w:r w:rsidRPr="00612A4A">
              <w:rPr>
                <w:sz w:val="22"/>
                <w:lang w:eastAsia="lt-LT"/>
              </w:rPr>
              <w:t>14</w:t>
            </w:r>
          </w:p>
        </w:tc>
      </w:tr>
      <w:tr w:rsidR="000B6D1B" w:rsidRPr="00612A4A" w14:paraId="39A0520F" w14:textId="77777777" w:rsidTr="00D64B86">
        <w:trPr>
          <w:trHeight w:val="50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D818B" w14:textId="77777777" w:rsidR="000B6D1B" w:rsidRPr="00612A4A" w:rsidRDefault="000B6D1B" w:rsidP="00D64B86">
            <w:pPr>
              <w:jc w:val="center"/>
              <w:rPr>
                <w:szCs w:val="24"/>
                <w:lang w:eastAsia="lt-LT"/>
              </w:rPr>
            </w:pPr>
            <w:r w:rsidRPr="00612A4A">
              <w:rPr>
                <w:sz w:val="22"/>
                <w:lang w:eastAsia="lt-LT"/>
              </w:rPr>
              <w:t>3.</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9CF7395" w14:textId="77777777" w:rsidR="000B6D1B" w:rsidRPr="00612A4A" w:rsidRDefault="000B6D1B" w:rsidP="00D64B86">
            <w:pPr>
              <w:rPr>
                <w:szCs w:val="24"/>
                <w:lang w:eastAsia="lt-LT"/>
              </w:rPr>
            </w:pPr>
            <w:r w:rsidRPr="00612A4A">
              <w:rPr>
                <w:sz w:val="22"/>
                <w:lang w:eastAsia="lt-LT"/>
              </w:rPr>
              <w:t>Kultūros (parodų centrai, muziejai, salės)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5691FCE9" w14:textId="77777777" w:rsidR="000B6D1B" w:rsidRPr="00612A4A" w:rsidRDefault="000B6D1B" w:rsidP="00D64B86">
            <w:pPr>
              <w:jc w:val="center"/>
              <w:rPr>
                <w:szCs w:val="24"/>
                <w:lang w:eastAsia="lt-LT"/>
              </w:rPr>
            </w:pPr>
            <w:r w:rsidRPr="00612A4A">
              <w:rPr>
                <w:sz w:val="22"/>
                <w:lang w:eastAsia="lt-LT"/>
              </w:rPr>
              <w:t>9</w:t>
            </w:r>
          </w:p>
        </w:tc>
      </w:tr>
      <w:tr w:rsidR="000B6D1B" w:rsidRPr="00612A4A" w14:paraId="254992C2"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8D400" w14:textId="77777777" w:rsidR="000B6D1B" w:rsidRPr="00612A4A" w:rsidRDefault="000B6D1B" w:rsidP="00D64B86">
            <w:pPr>
              <w:jc w:val="center"/>
              <w:rPr>
                <w:szCs w:val="24"/>
                <w:lang w:eastAsia="lt-LT"/>
              </w:rPr>
            </w:pPr>
            <w:r w:rsidRPr="00612A4A">
              <w:rPr>
                <w:sz w:val="22"/>
                <w:lang w:eastAsia="lt-LT"/>
              </w:rPr>
              <w:t>4.</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7469F9EF" w14:textId="77777777" w:rsidR="000B6D1B" w:rsidRPr="00612A4A" w:rsidRDefault="000B6D1B" w:rsidP="00D64B86">
            <w:pPr>
              <w:rPr>
                <w:szCs w:val="24"/>
                <w:lang w:eastAsia="lt-LT"/>
              </w:rPr>
            </w:pPr>
            <w:r w:rsidRPr="00612A4A">
              <w:rPr>
                <w:sz w:val="22"/>
                <w:lang w:eastAsia="lt-LT"/>
              </w:rPr>
              <w:t>Specialioji (priešgaisrinių ir gelbėjimo tarnybų)</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20A64248" w14:textId="77777777" w:rsidR="000B6D1B" w:rsidRPr="00612A4A" w:rsidRDefault="000B6D1B" w:rsidP="00D64B86">
            <w:pPr>
              <w:jc w:val="center"/>
              <w:rPr>
                <w:szCs w:val="24"/>
                <w:lang w:eastAsia="lt-LT"/>
              </w:rPr>
            </w:pPr>
            <w:r w:rsidRPr="00612A4A">
              <w:rPr>
                <w:sz w:val="22"/>
                <w:lang w:eastAsia="lt-LT"/>
              </w:rPr>
              <w:t>12</w:t>
            </w:r>
          </w:p>
        </w:tc>
      </w:tr>
      <w:tr w:rsidR="000B6D1B" w:rsidRPr="00612A4A" w14:paraId="7521B387"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FE4B6" w14:textId="77777777" w:rsidR="000B6D1B" w:rsidRPr="00612A4A" w:rsidRDefault="000B6D1B" w:rsidP="00D64B86">
            <w:pPr>
              <w:jc w:val="center"/>
              <w:rPr>
                <w:szCs w:val="24"/>
                <w:lang w:eastAsia="lt-LT"/>
              </w:rPr>
            </w:pPr>
            <w:r w:rsidRPr="00612A4A">
              <w:rPr>
                <w:sz w:val="22"/>
                <w:lang w:eastAsia="lt-LT"/>
              </w:rPr>
              <w:t>5.</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545D17D" w14:textId="77777777" w:rsidR="000B6D1B" w:rsidRPr="00612A4A" w:rsidRDefault="000B6D1B" w:rsidP="00D64B86">
            <w:pPr>
              <w:rPr>
                <w:szCs w:val="24"/>
                <w:lang w:eastAsia="lt-LT"/>
              </w:rPr>
            </w:pPr>
            <w:r w:rsidRPr="00612A4A">
              <w:rPr>
                <w:sz w:val="22"/>
                <w:lang w:eastAsia="lt-LT"/>
              </w:rPr>
              <w:t>Mokslo (profesinės ir aukštosios mokyklos)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52828B2A" w14:textId="77777777" w:rsidR="000B6D1B" w:rsidRPr="00612A4A" w:rsidRDefault="000B6D1B" w:rsidP="00D64B86">
            <w:pPr>
              <w:jc w:val="center"/>
              <w:rPr>
                <w:szCs w:val="24"/>
                <w:lang w:eastAsia="lt-LT"/>
              </w:rPr>
            </w:pPr>
            <w:r w:rsidRPr="00612A4A">
              <w:rPr>
                <w:sz w:val="22"/>
                <w:lang w:eastAsia="lt-LT"/>
              </w:rPr>
              <w:t>13</w:t>
            </w:r>
          </w:p>
        </w:tc>
      </w:tr>
      <w:tr w:rsidR="000B6D1B" w:rsidRPr="00612A4A" w14:paraId="06DEA420"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14A1D" w14:textId="77777777" w:rsidR="000B6D1B" w:rsidRPr="00612A4A" w:rsidRDefault="000B6D1B" w:rsidP="00D64B86">
            <w:pPr>
              <w:jc w:val="center"/>
              <w:rPr>
                <w:szCs w:val="24"/>
                <w:lang w:eastAsia="lt-LT"/>
              </w:rPr>
            </w:pPr>
            <w:r w:rsidRPr="00612A4A">
              <w:rPr>
                <w:sz w:val="22"/>
                <w:lang w:eastAsia="lt-LT"/>
              </w:rPr>
              <w:lastRenderedPageBreak/>
              <w:t>6.</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BB50EFB" w14:textId="77777777" w:rsidR="000B6D1B" w:rsidRPr="00612A4A" w:rsidRDefault="000B6D1B" w:rsidP="00D64B86">
            <w:pPr>
              <w:rPr>
                <w:szCs w:val="24"/>
                <w:lang w:eastAsia="lt-LT"/>
              </w:rPr>
            </w:pPr>
            <w:r w:rsidRPr="00612A4A">
              <w:rPr>
                <w:sz w:val="22"/>
                <w:lang w:eastAsia="lt-LT"/>
              </w:rPr>
              <w:t>Gydymo</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7C0C81DB" w14:textId="77777777" w:rsidR="000B6D1B" w:rsidRPr="00612A4A" w:rsidRDefault="000B6D1B" w:rsidP="00D64B86">
            <w:pPr>
              <w:jc w:val="center"/>
              <w:rPr>
                <w:szCs w:val="24"/>
                <w:lang w:eastAsia="lt-LT"/>
              </w:rPr>
            </w:pPr>
            <w:r w:rsidRPr="00612A4A">
              <w:rPr>
                <w:sz w:val="22"/>
                <w:lang w:eastAsia="lt-LT"/>
              </w:rPr>
              <w:t>12</w:t>
            </w:r>
          </w:p>
        </w:tc>
      </w:tr>
      <w:tr w:rsidR="000B6D1B" w:rsidRPr="00612A4A" w14:paraId="2C664AB4"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B12F4" w14:textId="77777777" w:rsidR="000B6D1B" w:rsidRPr="00612A4A" w:rsidRDefault="000B6D1B" w:rsidP="00D64B86">
            <w:pPr>
              <w:jc w:val="center"/>
              <w:rPr>
                <w:szCs w:val="24"/>
                <w:lang w:eastAsia="lt-LT"/>
              </w:rPr>
            </w:pPr>
            <w:r w:rsidRPr="00612A4A">
              <w:rPr>
                <w:sz w:val="22"/>
                <w:lang w:eastAsia="lt-LT"/>
              </w:rPr>
              <w:t>7.</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2922DE61" w14:textId="77777777" w:rsidR="000B6D1B" w:rsidRPr="00612A4A" w:rsidRDefault="000B6D1B" w:rsidP="00D64B86">
            <w:pPr>
              <w:rPr>
                <w:szCs w:val="24"/>
                <w:lang w:eastAsia="lt-LT"/>
              </w:rPr>
            </w:pPr>
            <w:r w:rsidRPr="00612A4A">
              <w:rPr>
                <w:sz w:val="22"/>
                <w:lang w:eastAsia="lt-LT"/>
              </w:rPr>
              <w:t>Kultūros (bibliotekos, skaityklos)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39B9EA82" w14:textId="77777777" w:rsidR="000B6D1B" w:rsidRPr="00612A4A" w:rsidRDefault="000B6D1B" w:rsidP="00D64B86">
            <w:pPr>
              <w:jc w:val="center"/>
              <w:rPr>
                <w:szCs w:val="24"/>
                <w:lang w:eastAsia="lt-LT"/>
              </w:rPr>
            </w:pPr>
            <w:r w:rsidRPr="00612A4A">
              <w:rPr>
                <w:sz w:val="22"/>
                <w:lang w:eastAsia="lt-LT"/>
              </w:rPr>
              <w:t>12</w:t>
            </w:r>
          </w:p>
        </w:tc>
      </w:tr>
      <w:tr w:rsidR="000B6D1B" w:rsidRPr="00612A4A" w14:paraId="49DE6AC4"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CAE2F" w14:textId="77777777" w:rsidR="000B6D1B" w:rsidRPr="00612A4A" w:rsidRDefault="000B6D1B" w:rsidP="00D64B86">
            <w:pPr>
              <w:jc w:val="center"/>
              <w:rPr>
                <w:szCs w:val="24"/>
                <w:lang w:eastAsia="lt-LT"/>
              </w:rPr>
            </w:pPr>
            <w:r w:rsidRPr="00612A4A">
              <w:rPr>
                <w:sz w:val="22"/>
                <w:lang w:eastAsia="lt-LT"/>
              </w:rPr>
              <w:t>8.</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77C33642" w14:textId="77777777" w:rsidR="000B6D1B" w:rsidRPr="00612A4A" w:rsidRDefault="000B6D1B" w:rsidP="00D64B86">
            <w:pPr>
              <w:rPr>
                <w:szCs w:val="24"/>
                <w:lang w:eastAsia="lt-LT"/>
              </w:rPr>
            </w:pPr>
            <w:r w:rsidRPr="00612A4A">
              <w:rPr>
                <w:sz w:val="22"/>
                <w:lang w:eastAsia="lt-LT"/>
              </w:rPr>
              <w:t>Administracinė (pertvaromis atskirtos darbo vietos )</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1705857B" w14:textId="77777777" w:rsidR="000B6D1B" w:rsidRPr="00612A4A" w:rsidRDefault="000B6D1B" w:rsidP="00D64B86">
            <w:pPr>
              <w:jc w:val="center"/>
              <w:rPr>
                <w:szCs w:val="24"/>
                <w:lang w:eastAsia="lt-LT"/>
              </w:rPr>
            </w:pPr>
            <w:r w:rsidRPr="00612A4A">
              <w:rPr>
                <w:sz w:val="22"/>
                <w:lang w:eastAsia="lt-LT"/>
              </w:rPr>
              <w:t>13</w:t>
            </w:r>
          </w:p>
        </w:tc>
      </w:tr>
      <w:tr w:rsidR="000B6D1B" w:rsidRPr="00612A4A" w14:paraId="5A8A78B6"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2CC0C" w14:textId="77777777" w:rsidR="000B6D1B" w:rsidRPr="00612A4A" w:rsidRDefault="000B6D1B" w:rsidP="00D64B86">
            <w:pPr>
              <w:jc w:val="center"/>
              <w:rPr>
                <w:szCs w:val="24"/>
                <w:lang w:eastAsia="lt-LT"/>
              </w:rPr>
            </w:pPr>
            <w:r w:rsidRPr="00612A4A">
              <w:rPr>
                <w:sz w:val="22"/>
                <w:lang w:eastAsia="lt-LT"/>
              </w:rPr>
              <w:t>9.</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0A4AE951" w14:textId="77777777" w:rsidR="000B6D1B" w:rsidRPr="00612A4A" w:rsidRDefault="000B6D1B" w:rsidP="00D64B86">
            <w:pPr>
              <w:rPr>
                <w:szCs w:val="24"/>
                <w:lang w:eastAsia="lt-LT"/>
              </w:rPr>
            </w:pPr>
            <w:r w:rsidRPr="00612A4A">
              <w:rPr>
                <w:sz w:val="22"/>
                <w:lang w:eastAsia="lt-LT"/>
              </w:rPr>
              <w:t>Administracinė (darbo patalpa be pertvarų)</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76E56CC3" w14:textId="77777777" w:rsidR="000B6D1B" w:rsidRPr="00612A4A" w:rsidRDefault="000B6D1B" w:rsidP="00D64B86">
            <w:pPr>
              <w:jc w:val="center"/>
              <w:rPr>
                <w:szCs w:val="24"/>
                <w:lang w:eastAsia="lt-LT"/>
              </w:rPr>
            </w:pPr>
            <w:r w:rsidRPr="00612A4A">
              <w:rPr>
                <w:sz w:val="22"/>
                <w:lang w:eastAsia="lt-LT"/>
              </w:rPr>
              <w:t>11</w:t>
            </w:r>
          </w:p>
        </w:tc>
      </w:tr>
      <w:tr w:rsidR="000B6D1B" w:rsidRPr="00612A4A" w14:paraId="341E82C3"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5D256" w14:textId="77777777" w:rsidR="000B6D1B" w:rsidRPr="00612A4A" w:rsidRDefault="000B6D1B" w:rsidP="00D64B86">
            <w:pPr>
              <w:jc w:val="center"/>
              <w:rPr>
                <w:szCs w:val="24"/>
                <w:lang w:eastAsia="lt-LT"/>
              </w:rPr>
            </w:pPr>
            <w:r w:rsidRPr="00612A4A">
              <w:rPr>
                <w:sz w:val="22"/>
                <w:lang w:eastAsia="lt-LT"/>
              </w:rPr>
              <w:t>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AA2D627" w14:textId="77777777" w:rsidR="000B6D1B" w:rsidRPr="00612A4A" w:rsidRDefault="000B6D1B" w:rsidP="00D64B86">
            <w:pPr>
              <w:rPr>
                <w:szCs w:val="24"/>
                <w:lang w:eastAsia="lt-LT"/>
              </w:rPr>
            </w:pPr>
            <w:r w:rsidRPr="00612A4A">
              <w:rPr>
                <w:sz w:val="22"/>
                <w:lang w:eastAsia="lt-LT"/>
              </w:rPr>
              <w:t>Specialioji (policija)</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63FE76C0" w14:textId="77777777" w:rsidR="000B6D1B" w:rsidRPr="00612A4A" w:rsidRDefault="000B6D1B" w:rsidP="00D64B86">
            <w:pPr>
              <w:jc w:val="center"/>
              <w:rPr>
                <w:szCs w:val="24"/>
                <w:lang w:eastAsia="lt-LT"/>
              </w:rPr>
            </w:pPr>
            <w:r w:rsidRPr="00612A4A">
              <w:rPr>
                <w:sz w:val="22"/>
                <w:lang w:eastAsia="lt-LT"/>
              </w:rPr>
              <w:t>14</w:t>
            </w:r>
          </w:p>
        </w:tc>
      </w:tr>
      <w:tr w:rsidR="000B6D1B" w:rsidRPr="00612A4A" w14:paraId="617AA46F"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B329B" w14:textId="77777777" w:rsidR="000B6D1B" w:rsidRPr="00612A4A" w:rsidRDefault="000B6D1B" w:rsidP="00D64B86">
            <w:pPr>
              <w:jc w:val="center"/>
              <w:rPr>
                <w:szCs w:val="24"/>
                <w:lang w:eastAsia="lt-LT"/>
              </w:rPr>
            </w:pPr>
            <w:r w:rsidRPr="00612A4A">
              <w:rPr>
                <w:sz w:val="22"/>
                <w:lang w:eastAsia="lt-LT"/>
              </w:rPr>
              <w:t>11.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24212DE4" w14:textId="77777777" w:rsidR="000B6D1B" w:rsidRPr="00612A4A" w:rsidRDefault="000B6D1B" w:rsidP="00D64B86">
            <w:pPr>
              <w:rPr>
                <w:szCs w:val="24"/>
                <w:lang w:eastAsia="lt-LT"/>
              </w:rPr>
            </w:pPr>
            <w:r w:rsidRPr="00612A4A">
              <w:rPr>
                <w:sz w:val="22"/>
                <w:lang w:eastAsia="lt-LT"/>
              </w:rPr>
              <w:t>Specialioji (kalėjimai, tardymo izoliatoriai, pataisos darbų kolonijos)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27EA458B" w14:textId="77777777" w:rsidR="000B6D1B" w:rsidRPr="00612A4A" w:rsidRDefault="000B6D1B" w:rsidP="00D64B86">
            <w:pPr>
              <w:jc w:val="center"/>
              <w:rPr>
                <w:szCs w:val="24"/>
                <w:lang w:eastAsia="lt-LT"/>
              </w:rPr>
            </w:pPr>
            <w:r w:rsidRPr="00612A4A">
              <w:rPr>
                <w:sz w:val="22"/>
                <w:lang w:eastAsia="lt-LT"/>
              </w:rPr>
              <w:t>9</w:t>
            </w:r>
          </w:p>
        </w:tc>
      </w:tr>
      <w:tr w:rsidR="000B6D1B" w:rsidRPr="00612A4A" w14:paraId="72B81870"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32658" w14:textId="77777777" w:rsidR="000B6D1B" w:rsidRPr="00612A4A" w:rsidRDefault="000B6D1B" w:rsidP="00D64B86">
            <w:pPr>
              <w:jc w:val="center"/>
              <w:rPr>
                <w:szCs w:val="24"/>
                <w:lang w:eastAsia="lt-LT"/>
              </w:rPr>
            </w:pPr>
            <w:r w:rsidRPr="00612A4A">
              <w:rPr>
                <w:sz w:val="22"/>
                <w:lang w:eastAsia="lt-LT"/>
              </w:rPr>
              <w:t>12.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8E2C6A6" w14:textId="77777777" w:rsidR="000B6D1B" w:rsidRPr="00612A4A" w:rsidRDefault="000B6D1B" w:rsidP="00D64B86">
            <w:pPr>
              <w:rPr>
                <w:szCs w:val="24"/>
                <w:lang w:eastAsia="lt-LT"/>
              </w:rPr>
            </w:pPr>
            <w:r w:rsidRPr="00612A4A">
              <w:rPr>
                <w:sz w:val="22"/>
                <w:lang w:eastAsia="lt-LT"/>
              </w:rPr>
              <w:t>Sporto (salės, klubai)</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3EEBAF7D" w14:textId="77777777" w:rsidR="000B6D1B" w:rsidRPr="00612A4A" w:rsidRDefault="000B6D1B" w:rsidP="00D64B86">
            <w:pPr>
              <w:jc w:val="center"/>
              <w:rPr>
                <w:szCs w:val="24"/>
                <w:lang w:eastAsia="lt-LT"/>
              </w:rPr>
            </w:pPr>
            <w:r w:rsidRPr="00612A4A">
              <w:rPr>
                <w:sz w:val="22"/>
                <w:lang w:eastAsia="lt-LT"/>
              </w:rPr>
              <w:t>9</w:t>
            </w:r>
          </w:p>
        </w:tc>
      </w:tr>
      <w:tr w:rsidR="000B6D1B" w:rsidRPr="00612A4A" w14:paraId="0093D1FC"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E6C36" w14:textId="77777777" w:rsidR="000B6D1B" w:rsidRPr="00612A4A" w:rsidRDefault="000B6D1B" w:rsidP="00D64B86">
            <w:pPr>
              <w:jc w:val="center"/>
              <w:rPr>
                <w:szCs w:val="24"/>
                <w:lang w:eastAsia="lt-LT"/>
              </w:rPr>
            </w:pPr>
            <w:r w:rsidRPr="00612A4A">
              <w:rPr>
                <w:sz w:val="22"/>
                <w:lang w:eastAsia="lt-LT"/>
              </w:rPr>
              <w:t>13.</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1DA2045" w14:textId="77777777" w:rsidR="000B6D1B" w:rsidRPr="00612A4A" w:rsidRDefault="000B6D1B" w:rsidP="00D64B86">
            <w:pPr>
              <w:rPr>
                <w:szCs w:val="24"/>
                <w:lang w:eastAsia="lt-LT"/>
              </w:rPr>
            </w:pPr>
            <w:r w:rsidRPr="00612A4A">
              <w:rPr>
                <w:sz w:val="22"/>
                <w:lang w:eastAsia="lt-LT"/>
              </w:rPr>
              <w:t>Gyvenamosios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6814C9EF" w14:textId="77777777" w:rsidR="000B6D1B" w:rsidRPr="00612A4A" w:rsidRDefault="000B6D1B" w:rsidP="00D64B86">
            <w:pPr>
              <w:jc w:val="center"/>
              <w:rPr>
                <w:szCs w:val="24"/>
                <w:lang w:eastAsia="lt-LT"/>
              </w:rPr>
            </w:pPr>
            <w:r w:rsidRPr="00612A4A">
              <w:rPr>
                <w:sz w:val="22"/>
                <w:lang w:eastAsia="lt-LT"/>
              </w:rPr>
              <w:t>11</w:t>
            </w:r>
          </w:p>
        </w:tc>
      </w:tr>
      <w:tr w:rsidR="000B6D1B" w:rsidRPr="00612A4A" w14:paraId="1C4D39C7"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B6333" w14:textId="77777777" w:rsidR="000B6D1B" w:rsidRPr="00612A4A" w:rsidRDefault="000B6D1B" w:rsidP="00D64B86">
            <w:pPr>
              <w:jc w:val="center"/>
              <w:rPr>
                <w:szCs w:val="24"/>
                <w:lang w:eastAsia="lt-LT"/>
              </w:rPr>
            </w:pPr>
            <w:r w:rsidRPr="00612A4A">
              <w:rPr>
                <w:sz w:val="22"/>
                <w:lang w:eastAsia="lt-LT"/>
              </w:rPr>
              <w:t>14.</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7E496D46" w14:textId="77777777" w:rsidR="000B6D1B" w:rsidRPr="00612A4A" w:rsidRDefault="000B6D1B" w:rsidP="00D64B86">
            <w:pPr>
              <w:rPr>
                <w:szCs w:val="24"/>
                <w:lang w:eastAsia="lt-LT"/>
              </w:rPr>
            </w:pPr>
            <w:r w:rsidRPr="00612A4A">
              <w:rPr>
                <w:sz w:val="22"/>
                <w:lang w:eastAsia="lt-LT"/>
              </w:rPr>
              <w:t>Gyvenamosios (tik bendro naudojimo) patalpos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61F20240" w14:textId="77777777" w:rsidR="000B6D1B" w:rsidRPr="00612A4A" w:rsidRDefault="000B6D1B" w:rsidP="00D64B86">
            <w:pPr>
              <w:jc w:val="center"/>
              <w:rPr>
                <w:szCs w:val="24"/>
                <w:lang w:eastAsia="lt-LT"/>
              </w:rPr>
            </w:pPr>
            <w:r w:rsidRPr="00612A4A">
              <w:rPr>
                <w:sz w:val="22"/>
                <w:lang w:eastAsia="lt-LT"/>
              </w:rPr>
              <w:t>6</w:t>
            </w:r>
          </w:p>
        </w:tc>
      </w:tr>
      <w:tr w:rsidR="000B6D1B" w:rsidRPr="00612A4A" w14:paraId="712FA1CC"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E49AE" w14:textId="77777777" w:rsidR="000B6D1B" w:rsidRPr="00612A4A" w:rsidRDefault="000B6D1B" w:rsidP="00D64B86">
            <w:pPr>
              <w:jc w:val="center"/>
              <w:rPr>
                <w:szCs w:val="24"/>
                <w:lang w:eastAsia="lt-LT"/>
              </w:rPr>
            </w:pPr>
            <w:r w:rsidRPr="00612A4A">
              <w:rPr>
                <w:sz w:val="22"/>
                <w:lang w:eastAsia="lt-LT"/>
              </w:rPr>
              <w:t>15.</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0E4D6F81" w14:textId="77777777" w:rsidR="000B6D1B" w:rsidRPr="00612A4A" w:rsidRDefault="000B6D1B" w:rsidP="00D64B86">
            <w:pPr>
              <w:rPr>
                <w:szCs w:val="24"/>
                <w:lang w:eastAsia="lt-LT"/>
              </w:rPr>
            </w:pPr>
            <w:r w:rsidRPr="00612A4A">
              <w:rPr>
                <w:sz w:val="22"/>
                <w:lang w:eastAsia="lt-LT"/>
              </w:rPr>
              <w:t>Mokslo (bendrojo lavinimo mokyklos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4BBB72CB" w14:textId="77777777" w:rsidR="000B6D1B" w:rsidRPr="00612A4A" w:rsidRDefault="000B6D1B" w:rsidP="00D64B86">
            <w:pPr>
              <w:jc w:val="center"/>
              <w:rPr>
                <w:szCs w:val="24"/>
                <w:lang w:eastAsia="lt-LT"/>
              </w:rPr>
            </w:pPr>
            <w:r w:rsidRPr="00612A4A">
              <w:rPr>
                <w:sz w:val="22"/>
                <w:lang w:eastAsia="lt-LT"/>
              </w:rPr>
              <w:t>8</w:t>
            </w:r>
          </w:p>
        </w:tc>
      </w:tr>
      <w:tr w:rsidR="000B6D1B" w:rsidRPr="00612A4A" w14:paraId="1E9A0A0C"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EF6F6" w14:textId="77777777" w:rsidR="000B6D1B" w:rsidRPr="00612A4A" w:rsidRDefault="000B6D1B" w:rsidP="00D64B86">
            <w:pPr>
              <w:jc w:val="center"/>
              <w:rPr>
                <w:szCs w:val="24"/>
                <w:lang w:eastAsia="lt-LT"/>
              </w:rPr>
            </w:pPr>
            <w:r w:rsidRPr="00612A4A">
              <w:rPr>
                <w:sz w:val="22"/>
                <w:lang w:eastAsia="lt-LT"/>
              </w:rPr>
              <w:t>16.</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15350BEB" w14:textId="77777777" w:rsidR="000B6D1B" w:rsidRPr="00612A4A" w:rsidRDefault="000B6D1B" w:rsidP="00D64B86">
            <w:pPr>
              <w:rPr>
                <w:szCs w:val="24"/>
                <w:lang w:eastAsia="lt-LT"/>
              </w:rPr>
            </w:pPr>
            <w:r w:rsidRPr="00612A4A">
              <w:rPr>
                <w:sz w:val="22"/>
                <w:lang w:eastAsia="lt-LT"/>
              </w:rPr>
              <w:t>Kultūros (kita)</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2F16F3F7" w14:textId="77777777" w:rsidR="000B6D1B" w:rsidRPr="00612A4A" w:rsidRDefault="000B6D1B" w:rsidP="00D64B86">
            <w:pPr>
              <w:jc w:val="center"/>
              <w:rPr>
                <w:szCs w:val="24"/>
                <w:lang w:eastAsia="lt-LT"/>
              </w:rPr>
            </w:pPr>
            <w:r w:rsidRPr="00612A4A">
              <w:rPr>
                <w:sz w:val="22"/>
                <w:lang w:eastAsia="lt-LT"/>
              </w:rPr>
              <w:t>13</w:t>
            </w:r>
          </w:p>
        </w:tc>
      </w:tr>
    </w:tbl>
    <w:p w14:paraId="1680347F" w14:textId="77777777" w:rsidR="000B6D1B" w:rsidRPr="00612A4A" w:rsidRDefault="000B6D1B" w:rsidP="00CE66C4">
      <w:pPr>
        <w:spacing w:line="276" w:lineRule="atLeast"/>
        <w:jc w:val="both"/>
        <w:rPr>
          <w:color w:val="000000"/>
          <w:szCs w:val="24"/>
          <w:lang w:eastAsia="lt-LT"/>
        </w:rPr>
      </w:pPr>
    </w:p>
    <w:p w14:paraId="4F6AA036" w14:textId="77777777" w:rsidR="000B6D1B" w:rsidRPr="00612A4A" w:rsidRDefault="000B6D1B" w:rsidP="000B6D1B">
      <w:pPr>
        <w:ind w:firstLine="851"/>
        <w:jc w:val="both"/>
        <w:rPr>
          <w:color w:val="000000"/>
          <w:szCs w:val="24"/>
          <w:lang w:eastAsia="lt-LT"/>
        </w:rPr>
      </w:pPr>
      <w:bookmarkStart w:id="22" w:name="part_d8ef418023f244529990fe69e6cd156d"/>
      <w:bookmarkEnd w:id="22"/>
      <w:r w:rsidRPr="00612A4A">
        <w:rPr>
          <w:color w:val="000000"/>
          <w:szCs w:val="24"/>
          <w:lang w:eastAsia="lt-LT"/>
        </w:rPr>
        <w:t>23.2. jeigu patalpų apšvietimo įranga montuojama pavienėje zonoje arba tik pastato dalyje, didžiausią toje zonoje vartojamą apšvietimo įrangos galią padalijus iš bendro šios zonos grindų ploto ir 100 apšvietos vienetų (100 liuksų) gauta vertė neturi viršyti šių verčių:</w:t>
      </w:r>
    </w:p>
    <w:tbl>
      <w:tblPr>
        <w:tblW w:w="8959" w:type="dxa"/>
        <w:tblInd w:w="675" w:type="dxa"/>
        <w:tblCellMar>
          <w:left w:w="0" w:type="dxa"/>
          <w:right w:w="0" w:type="dxa"/>
        </w:tblCellMar>
        <w:tblLook w:val="04A0" w:firstRow="1" w:lastRow="0" w:firstColumn="1" w:lastColumn="0" w:noHBand="0" w:noVBand="1"/>
      </w:tblPr>
      <w:tblGrid>
        <w:gridCol w:w="709"/>
        <w:gridCol w:w="5812"/>
        <w:gridCol w:w="2438"/>
      </w:tblGrid>
      <w:tr w:rsidR="000B6D1B" w:rsidRPr="00612A4A" w14:paraId="4D31339B" w14:textId="77777777" w:rsidTr="00D64B8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11AAC" w14:textId="77777777" w:rsidR="000B6D1B" w:rsidRPr="00612A4A" w:rsidRDefault="000B6D1B" w:rsidP="00D64B86">
            <w:pPr>
              <w:jc w:val="center"/>
              <w:rPr>
                <w:szCs w:val="24"/>
                <w:lang w:eastAsia="lt-LT"/>
              </w:rPr>
            </w:pPr>
            <w:r w:rsidRPr="00612A4A">
              <w:rPr>
                <w:sz w:val="22"/>
                <w:lang w:eastAsia="lt-LT"/>
              </w:rPr>
              <w:t>Nr.</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B91746" w14:textId="77777777" w:rsidR="000B6D1B" w:rsidRPr="00612A4A" w:rsidRDefault="000B6D1B" w:rsidP="00D64B86">
            <w:pPr>
              <w:jc w:val="center"/>
              <w:rPr>
                <w:szCs w:val="24"/>
                <w:lang w:eastAsia="lt-LT"/>
              </w:rPr>
            </w:pPr>
            <w:r w:rsidRPr="00612A4A">
              <w:rPr>
                <w:sz w:val="22"/>
                <w:lang w:eastAsia="lt-LT"/>
              </w:rPr>
              <w:t>Patalpų paskirtis</w:t>
            </w:r>
          </w:p>
        </w:tc>
        <w:tc>
          <w:tcPr>
            <w:tcW w:w="2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BE834A" w14:textId="77777777" w:rsidR="000B6D1B" w:rsidRPr="00612A4A" w:rsidRDefault="000B6D1B" w:rsidP="00D64B86">
            <w:pPr>
              <w:jc w:val="center"/>
              <w:rPr>
                <w:szCs w:val="24"/>
                <w:lang w:eastAsia="lt-LT"/>
              </w:rPr>
            </w:pPr>
            <w:r w:rsidRPr="00612A4A">
              <w:rPr>
                <w:sz w:val="22"/>
                <w:lang w:eastAsia="lt-LT"/>
              </w:rPr>
              <w:t>Normuotasis apšvietimo galios tankis</w:t>
            </w:r>
          </w:p>
          <w:p w14:paraId="0BBF83D5" w14:textId="77777777" w:rsidR="000B6D1B" w:rsidRPr="00612A4A" w:rsidRDefault="000B6D1B" w:rsidP="00D64B86">
            <w:pPr>
              <w:jc w:val="center"/>
              <w:rPr>
                <w:szCs w:val="24"/>
                <w:lang w:eastAsia="lt-LT"/>
              </w:rPr>
            </w:pPr>
            <w:r w:rsidRPr="00612A4A">
              <w:rPr>
                <w:sz w:val="22"/>
                <w:lang w:eastAsia="lt-LT"/>
              </w:rPr>
              <w:t>(W/m</w:t>
            </w:r>
            <w:r w:rsidRPr="00612A4A">
              <w:rPr>
                <w:sz w:val="22"/>
                <w:vertAlign w:val="superscript"/>
                <w:lang w:eastAsia="lt-LT"/>
              </w:rPr>
              <w:t>2</w:t>
            </w:r>
            <w:r w:rsidRPr="00612A4A">
              <w:rPr>
                <w:sz w:val="22"/>
                <w:lang w:eastAsia="lt-LT"/>
              </w:rPr>
              <w:t>/100 lx)</w:t>
            </w:r>
          </w:p>
        </w:tc>
      </w:tr>
      <w:tr w:rsidR="000B6D1B" w:rsidRPr="00612A4A" w14:paraId="5C36064A"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5A81B" w14:textId="77777777" w:rsidR="000B6D1B" w:rsidRPr="00612A4A" w:rsidRDefault="000B6D1B" w:rsidP="00D64B86">
            <w:pPr>
              <w:jc w:val="center"/>
              <w:rPr>
                <w:szCs w:val="24"/>
                <w:lang w:eastAsia="lt-LT"/>
              </w:rPr>
            </w:pPr>
            <w:r w:rsidRPr="00612A4A">
              <w:rPr>
                <w:sz w:val="22"/>
                <w:lang w:eastAsia="lt-LT"/>
              </w:rPr>
              <w:t>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F5F1C1A" w14:textId="77777777" w:rsidR="000B6D1B" w:rsidRPr="00612A4A" w:rsidRDefault="000B6D1B" w:rsidP="00D64B86">
            <w:pPr>
              <w:rPr>
                <w:szCs w:val="24"/>
                <w:lang w:eastAsia="lt-LT"/>
              </w:rPr>
            </w:pPr>
            <w:r w:rsidRPr="00612A4A">
              <w:rPr>
                <w:sz w:val="22"/>
                <w:lang w:eastAsia="lt-LT"/>
              </w:rPr>
              <w:t>Gyvenamoji (miegamieji)</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0EC5FADF" w14:textId="77777777" w:rsidR="000B6D1B" w:rsidRPr="00612A4A" w:rsidRDefault="000B6D1B" w:rsidP="00D64B86">
            <w:pPr>
              <w:jc w:val="center"/>
              <w:rPr>
                <w:szCs w:val="24"/>
                <w:lang w:eastAsia="lt-LT"/>
              </w:rPr>
            </w:pPr>
            <w:r w:rsidRPr="00612A4A">
              <w:rPr>
                <w:sz w:val="22"/>
                <w:lang w:eastAsia="lt-LT"/>
              </w:rPr>
              <w:t>7,5</w:t>
            </w:r>
          </w:p>
        </w:tc>
      </w:tr>
      <w:tr w:rsidR="000B6D1B" w:rsidRPr="00612A4A" w14:paraId="2B14C021"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C3773" w14:textId="77777777" w:rsidR="000B6D1B" w:rsidRPr="00612A4A" w:rsidRDefault="000B6D1B" w:rsidP="00D64B86">
            <w:pPr>
              <w:jc w:val="center"/>
              <w:rPr>
                <w:szCs w:val="24"/>
                <w:lang w:eastAsia="lt-LT"/>
              </w:rPr>
            </w:pPr>
            <w:r w:rsidRPr="00612A4A">
              <w:rPr>
                <w:sz w:val="22"/>
                <w:lang w:eastAsia="lt-LT"/>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7080634" w14:textId="77777777" w:rsidR="000B6D1B" w:rsidRPr="00612A4A" w:rsidRDefault="000B6D1B" w:rsidP="00D64B86">
            <w:pPr>
              <w:rPr>
                <w:szCs w:val="24"/>
                <w:lang w:eastAsia="lt-LT"/>
              </w:rPr>
            </w:pPr>
            <w:r w:rsidRPr="00612A4A">
              <w:rPr>
                <w:sz w:val="22"/>
                <w:lang w:eastAsia="lt-LT"/>
              </w:rPr>
              <w:t>Maitinimo (valgyklos)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19E2C10D" w14:textId="77777777" w:rsidR="000B6D1B" w:rsidRPr="00612A4A" w:rsidRDefault="000B6D1B" w:rsidP="00D64B86">
            <w:pPr>
              <w:jc w:val="center"/>
              <w:rPr>
                <w:szCs w:val="24"/>
                <w:lang w:eastAsia="lt-LT"/>
              </w:rPr>
            </w:pPr>
            <w:r w:rsidRPr="00612A4A">
              <w:rPr>
                <w:sz w:val="22"/>
                <w:lang w:eastAsia="lt-LT"/>
              </w:rPr>
              <w:t>3,5</w:t>
            </w:r>
          </w:p>
        </w:tc>
      </w:tr>
      <w:tr w:rsidR="000B6D1B" w:rsidRPr="00612A4A" w14:paraId="5EEEB247"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B7280" w14:textId="77777777" w:rsidR="000B6D1B" w:rsidRPr="00612A4A" w:rsidRDefault="000B6D1B" w:rsidP="00D64B86">
            <w:pPr>
              <w:jc w:val="center"/>
              <w:rPr>
                <w:szCs w:val="24"/>
                <w:lang w:eastAsia="lt-LT"/>
              </w:rPr>
            </w:pPr>
            <w:r w:rsidRPr="00612A4A">
              <w:rPr>
                <w:sz w:val="22"/>
                <w:lang w:eastAsia="lt-LT"/>
              </w:rPr>
              <w:t>3.</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76048166" w14:textId="77777777" w:rsidR="000B6D1B" w:rsidRPr="00612A4A" w:rsidRDefault="000B6D1B" w:rsidP="00D64B86">
            <w:pPr>
              <w:rPr>
                <w:szCs w:val="24"/>
                <w:lang w:eastAsia="lt-LT"/>
              </w:rPr>
            </w:pPr>
            <w:r w:rsidRPr="00612A4A">
              <w:rPr>
                <w:sz w:val="22"/>
                <w:lang w:eastAsia="lt-LT"/>
              </w:rPr>
              <w:t>Garažų</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25E50B49" w14:textId="77777777" w:rsidR="000B6D1B" w:rsidRPr="00612A4A" w:rsidRDefault="000B6D1B" w:rsidP="00D64B86">
            <w:pPr>
              <w:jc w:val="center"/>
              <w:rPr>
                <w:szCs w:val="24"/>
                <w:lang w:eastAsia="lt-LT"/>
              </w:rPr>
            </w:pPr>
            <w:r w:rsidRPr="00612A4A">
              <w:rPr>
                <w:sz w:val="22"/>
                <w:lang w:eastAsia="lt-LT"/>
              </w:rPr>
              <w:t>2,2</w:t>
            </w:r>
          </w:p>
        </w:tc>
      </w:tr>
      <w:tr w:rsidR="000B6D1B" w:rsidRPr="00612A4A" w14:paraId="34479928"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A47EE" w14:textId="77777777" w:rsidR="000B6D1B" w:rsidRPr="00612A4A" w:rsidRDefault="000B6D1B" w:rsidP="00D64B86">
            <w:pPr>
              <w:jc w:val="center"/>
              <w:rPr>
                <w:szCs w:val="24"/>
                <w:lang w:eastAsia="lt-LT"/>
              </w:rPr>
            </w:pPr>
            <w:r w:rsidRPr="00612A4A">
              <w:rPr>
                <w:sz w:val="22"/>
                <w:lang w:eastAsia="lt-LT"/>
              </w:rPr>
              <w:t>4.</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04E62BCA" w14:textId="77777777" w:rsidR="000B6D1B" w:rsidRPr="00612A4A" w:rsidRDefault="000B6D1B" w:rsidP="00D64B86">
            <w:pPr>
              <w:rPr>
                <w:szCs w:val="24"/>
                <w:lang w:eastAsia="lt-LT"/>
              </w:rPr>
            </w:pPr>
            <w:r w:rsidRPr="00612A4A">
              <w:rPr>
                <w:sz w:val="22"/>
                <w:lang w:eastAsia="lt-LT"/>
              </w:rPr>
              <w:t>Gyvenamoji (bendrojo naudojimo patalpos, įskaitant liftus ir laiptines)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0D2A8BF3" w14:textId="77777777" w:rsidR="000B6D1B" w:rsidRPr="00612A4A" w:rsidRDefault="000B6D1B" w:rsidP="00D64B86">
            <w:pPr>
              <w:jc w:val="center"/>
              <w:rPr>
                <w:szCs w:val="24"/>
                <w:lang w:eastAsia="lt-LT"/>
              </w:rPr>
            </w:pPr>
            <w:r w:rsidRPr="00612A4A">
              <w:rPr>
                <w:sz w:val="22"/>
                <w:lang w:eastAsia="lt-LT"/>
              </w:rPr>
              <w:t>3,2</w:t>
            </w:r>
          </w:p>
        </w:tc>
      </w:tr>
      <w:tr w:rsidR="000B6D1B" w:rsidRPr="00612A4A" w14:paraId="71548D8D"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B6FFE" w14:textId="77777777" w:rsidR="000B6D1B" w:rsidRPr="00612A4A" w:rsidRDefault="000B6D1B" w:rsidP="00D64B86">
            <w:pPr>
              <w:jc w:val="center"/>
              <w:rPr>
                <w:szCs w:val="24"/>
                <w:lang w:eastAsia="lt-LT"/>
              </w:rPr>
            </w:pPr>
            <w:r w:rsidRPr="00612A4A">
              <w:rPr>
                <w:sz w:val="22"/>
                <w:lang w:eastAsia="lt-LT"/>
              </w:rPr>
              <w:t>5.</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C9442A8" w14:textId="77777777" w:rsidR="000B6D1B" w:rsidRPr="00612A4A" w:rsidRDefault="000B6D1B" w:rsidP="00D64B86">
            <w:pPr>
              <w:rPr>
                <w:szCs w:val="24"/>
                <w:lang w:eastAsia="lt-LT"/>
              </w:rPr>
            </w:pPr>
            <w:r w:rsidRPr="00612A4A">
              <w:rPr>
                <w:sz w:val="22"/>
                <w:lang w:eastAsia="lt-LT"/>
              </w:rPr>
              <w:t>Kultūros (salės, konferencijų patalpos)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6ECE09A2" w14:textId="77777777" w:rsidR="000B6D1B" w:rsidRPr="00612A4A" w:rsidRDefault="000B6D1B" w:rsidP="00D64B86">
            <w:pPr>
              <w:jc w:val="center"/>
              <w:rPr>
                <w:szCs w:val="24"/>
                <w:lang w:eastAsia="lt-LT"/>
              </w:rPr>
            </w:pPr>
            <w:r w:rsidRPr="00612A4A">
              <w:rPr>
                <w:sz w:val="22"/>
                <w:lang w:eastAsia="lt-LT"/>
              </w:rPr>
              <w:t>2,8</w:t>
            </w:r>
          </w:p>
        </w:tc>
      </w:tr>
      <w:tr w:rsidR="000B6D1B" w:rsidRPr="00612A4A" w14:paraId="7997D599"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7443F" w14:textId="77777777" w:rsidR="000B6D1B" w:rsidRPr="00612A4A" w:rsidRDefault="000B6D1B" w:rsidP="00D64B86">
            <w:pPr>
              <w:jc w:val="center"/>
              <w:rPr>
                <w:szCs w:val="24"/>
                <w:lang w:eastAsia="lt-LT"/>
              </w:rPr>
            </w:pPr>
            <w:r w:rsidRPr="00612A4A">
              <w:rPr>
                <w:sz w:val="22"/>
                <w:lang w:eastAsia="lt-LT"/>
              </w:rPr>
              <w:t>6.</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1E91FFA1" w14:textId="77777777" w:rsidR="000B6D1B" w:rsidRPr="00612A4A" w:rsidRDefault="000B6D1B" w:rsidP="00D64B86">
            <w:pPr>
              <w:rPr>
                <w:szCs w:val="24"/>
                <w:lang w:eastAsia="lt-LT"/>
              </w:rPr>
            </w:pPr>
            <w:r w:rsidRPr="00612A4A">
              <w:rPr>
                <w:sz w:val="22"/>
                <w:lang w:eastAsia="lt-LT"/>
              </w:rPr>
              <w:t>Sporto (salės)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620875B0" w14:textId="77777777" w:rsidR="000B6D1B" w:rsidRPr="00612A4A" w:rsidRDefault="000B6D1B" w:rsidP="00D64B86">
            <w:pPr>
              <w:jc w:val="center"/>
              <w:rPr>
                <w:szCs w:val="24"/>
                <w:lang w:eastAsia="lt-LT"/>
              </w:rPr>
            </w:pPr>
            <w:r w:rsidRPr="00612A4A">
              <w:rPr>
                <w:sz w:val="22"/>
                <w:lang w:eastAsia="lt-LT"/>
              </w:rPr>
              <w:t>2,8</w:t>
            </w:r>
          </w:p>
        </w:tc>
      </w:tr>
      <w:tr w:rsidR="000B6D1B" w:rsidRPr="00612A4A" w14:paraId="1AA70A44"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A47AA" w14:textId="77777777" w:rsidR="000B6D1B" w:rsidRPr="00612A4A" w:rsidRDefault="000B6D1B" w:rsidP="00D64B86">
            <w:pPr>
              <w:jc w:val="center"/>
              <w:rPr>
                <w:szCs w:val="24"/>
                <w:lang w:eastAsia="lt-LT"/>
              </w:rPr>
            </w:pPr>
            <w:r w:rsidRPr="00612A4A">
              <w:rPr>
                <w:sz w:val="22"/>
                <w:lang w:eastAsia="lt-LT"/>
              </w:rPr>
              <w:t>7.</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6CC32FA" w14:textId="77777777" w:rsidR="000B6D1B" w:rsidRPr="00612A4A" w:rsidRDefault="000B6D1B" w:rsidP="00D64B86">
            <w:pPr>
              <w:rPr>
                <w:szCs w:val="24"/>
                <w:lang w:eastAsia="lt-LT"/>
              </w:rPr>
            </w:pPr>
            <w:r w:rsidRPr="00612A4A">
              <w:rPr>
                <w:sz w:val="22"/>
                <w:lang w:eastAsia="lt-LT"/>
              </w:rPr>
              <w:t>Gydymo (ligoninės palatos ir apžiūros patalpos)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22CC8214" w14:textId="77777777" w:rsidR="000B6D1B" w:rsidRPr="00612A4A" w:rsidRDefault="000B6D1B" w:rsidP="00D64B86">
            <w:pPr>
              <w:jc w:val="center"/>
              <w:rPr>
                <w:szCs w:val="24"/>
                <w:lang w:eastAsia="lt-LT"/>
              </w:rPr>
            </w:pPr>
            <w:r w:rsidRPr="00612A4A">
              <w:rPr>
                <w:sz w:val="22"/>
                <w:lang w:eastAsia="lt-LT"/>
              </w:rPr>
              <w:t>4</w:t>
            </w:r>
          </w:p>
        </w:tc>
      </w:tr>
      <w:tr w:rsidR="000B6D1B" w:rsidRPr="00612A4A" w14:paraId="06277F34"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193BE" w14:textId="77777777" w:rsidR="000B6D1B" w:rsidRPr="00612A4A" w:rsidRDefault="000B6D1B" w:rsidP="00D64B86">
            <w:pPr>
              <w:jc w:val="center"/>
              <w:rPr>
                <w:szCs w:val="24"/>
                <w:lang w:eastAsia="lt-LT"/>
              </w:rPr>
            </w:pPr>
            <w:r w:rsidRPr="00612A4A">
              <w:rPr>
                <w:sz w:val="22"/>
                <w:lang w:eastAsia="lt-LT"/>
              </w:rPr>
              <w:t>8.</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0FCDACFA" w14:textId="77777777" w:rsidR="000B6D1B" w:rsidRPr="00612A4A" w:rsidRDefault="000B6D1B" w:rsidP="00D64B86">
            <w:pPr>
              <w:rPr>
                <w:szCs w:val="24"/>
                <w:lang w:eastAsia="lt-LT"/>
              </w:rPr>
            </w:pPr>
            <w:r w:rsidRPr="00612A4A">
              <w:rPr>
                <w:sz w:val="22"/>
                <w:lang w:eastAsia="lt-LT"/>
              </w:rPr>
              <w:t>Gyvenamoji (virtuvė, valgomasis)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6071BB33" w14:textId="77777777" w:rsidR="000B6D1B" w:rsidRPr="00612A4A" w:rsidRDefault="000B6D1B" w:rsidP="00D64B86">
            <w:pPr>
              <w:jc w:val="center"/>
              <w:rPr>
                <w:szCs w:val="24"/>
                <w:lang w:eastAsia="lt-LT"/>
              </w:rPr>
            </w:pPr>
            <w:r w:rsidRPr="00612A4A">
              <w:rPr>
                <w:sz w:val="22"/>
                <w:lang w:eastAsia="lt-LT"/>
              </w:rPr>
              <w:t>5</w:t>
            </w:r>
          </w:p>
        </w:tc>
      </w:tr>
      <w:tr w:rsidR="000B6D1B" w:rsidRPr="00612A4A" w14:paraId="57CDA443"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7A20B" w14:textId="77777777" w:rsidR="000B6D1B" w:rsidRPr="00612A4A" w:rsidRDefault="000B6D1B" w:rsidP="00D64B86">
            <w:pPr>
              <w:jc w:val="center"/>
              <w:rPr>
                <w:szCs w:val="24"/>
                <w:lang w:eastAsia="lt-LT"/>
              </w:rPr>
            </w:pPr>
            <w:r w:rsidRPr="00612A4A">
              <w:rPr>
                <w:sz w:val="22"/>
                <w:lang w:eastAsia="lt-LT"/>
              </w:rPr>
              <w:t>9.</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B2043A8" w14:textId="77777777" w:rsidR="000B6D1B" w:rsidRPr="00612A4A" w:rsidRDefault="000B6D1B" w:rsidP="00D64B86">
            <w:pPr>
              <w:rPr>
                <w:szCs w:val="24"/>
                <w:lang w:eastAsia="lt-LT"/>
              </w:rPr>
            </w:pPr>
            <w:r w:rsidRPr="00612A4A">
              <w:rPr>
                <w:sz w:val="22"/>
                <w:lang w:eastAsia="lt-LT"/>
              </w:rPr>
              <w:t>Maitinimo (restoranų virtuvės)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5FD05EB1" w14:textId="77777777" w:rsidR="000B6D1B" w:rsidRPr="00612A4A" w:rsidRDefault="000B6D1B" w:rsidP="00D64B86">
            <w:pPr>
              <w:jc w:val="center"/>
              <w:rPr>
                <w:szCs w:val="24"/>
                <w:lang w:eastAsia="lt-LT"/>
              </w:rPr>
            </w:pPr>
            <w:r w:rsidRPr="00612A4A">
              <w:rPr>
                <w:sz w:val="22"/>
                <w:lang w:eastAsia="lt-LT"/>
              </w:rPr>
              <w:t>2,8</w:t>
            </w:r>
          </w:p>
        </w:tc>
      </w:tr>
      <w:tr w:rsidR="000B6D1B" w:rsidRPr="00612A4A" w14:paraId="1F298094"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370C4" w14:textId="77777777" w:rsidR="000B6D1B" w:rsidRPr="00612A4A" w:rsidRDefault="000B6D1B" w:rsidP="00D64B86">
            <w:pPr>
              <w:jc w:val="center"/>
              <w:rPr>
                <w:szCs w:val="24"/>
                <w:lang w:eastAsia="lt-LT"/>
              </w:rPr>
            </w:pPr>
            <w:r w:rsidRPr="00612A4A">
              <w:rPr>
                <w:sz w:val="22"/>
                <w:lang w:eastAsia="lt-LT"/>
              </w:rPr>
              <w:lastRenderedPageBreak/>
              <w:t>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75A9BB2F" w14:textId="77777777" w:rsidR="000B6D1B" w:rsidRPr="00612A4A" w:rsidRDefault="000B6D1B" w:rsidP="00D64B86">
            <w:pPr>
              <w:rPr>
                <w:szCs w:val="24"/>
                <w:lang w:eastAsia="lt-LT"/>
              </w:rPr>
            </w:pPr>
            <w:r w:rsidRPr="00612A4A">
              <w:rPr>
                <w:sz w:val="22"/>
                <w:lang w:eastAsia="lt-LT"/>
              </w:rPr>
              <w:t>Mokslo (laboratorijos)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0B7EEBD2" w14:textId="77777777" w:rsidR="000B6D1B" w:rsidRPr="00612A4A" w:rsidRDefault="000B6D1B" w:rsidP="00D64B86">
            <w:pPr>
              <w:jc w:val="center"/>
              <w:rPr>
                <w:szCs w:val="24"/>
                <w:lang w:eastAsia="lt-LT"/>
              </w:rPr>
            </w:pPr>
            <w:r w:rsidRPr="00612A4A">
              <w:rPr>
                <w:sz w:val="22"/>
                <w:lang w:eastAsia="lt-LT"/>
              </w:rPr>
              <w:t>2,8</w:t>
            </w:r>
          </w:p>
        </w:tc>
      </w:tr>
      <w:tr w:rsidR="000B6D1B" w:rsidRPr="00612A4A" w14:paraId="5D210A87"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66477" w14:textId="77777777" w:rsidR="000B6D1B" w:rsidRPr="00612A4A" w:rsidRDefault="000B6D1B" w:rsidP="00D64B86">
            <w:pPr>
              <w:jc w:val="center"/>
              <w:rPr>
                <w:szCs w:val="24"/>
                <w:lang w:eastAsia="lt-LT"/>
              </w:rPr>
            </w:pPr>
            <w:r w:rsidRPr="00612A4A">
              <w:rPr>
                <w:sz w:val="22"/>
                <w:lang w:eastAsia="lt-LT"/>
              </w:rPr>
              <w:t>11.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FB8F3A2" w14:textId="77777777" w:rsidR="000B6D1B" w:rsidRPr="00612A4A" w:rsidRDefault="000B6D1B" w:rsidP="00D64B86">
            <w:pPr>
              <w:rPr>
                <w:szCs w:val="24"/>
                <w:lang w:eastAsia="lt-LT"/>
              </w:rPr>
            </w:pPr>
            <w:r w:rsidRPr="00612A4A">
              <w:rPr>
                <w:sz w:val="22"/>
                <w:lang w:eastAsia="lt-LT"/>
              </w:rPr>
              <w:t>Kultūros (bibliotekos)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356775DA" w14:textId="77777777" w:rsidR="000B6D1B" w:rsidRPr="00612A4A" w:rsidRDefault="000B6D1B" w:rsidP="00D64B86">
            <w:pPr>
              <w:jc w:val="center"/>
              <w:rPr>
                <w:szCs w:val="24"/>
                <w:lang w:eastAsia="lt-LT"/>
              </w:rPr>
            </w:pPr>
            <w:r w:rsidRPr="00612A4A">
              <w:rPr>
                <w:sz w:val="22"/>
                <w:lang w:eastAsia="lt-LT"/>
              </w:rPr>
              <w:t>3,2</w:t>
            </w:r>
          </w:p>
        </w:tc>
      </w:tr>
      <w:tr w:rsidR="000B6D1B" w:rsidRPr="00612A4A" w14:paraId="1D0A5530"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DD12E" w14:textId="77777777" w:rsidR="000B6D1B" w:rsidRPr="00612A4A" w:rsidRDefault="000B6D1B" w:rsidP="00D64B86">
            <w:pPr>
              <w:jc w:val="center"/>
              <w:rPr>
                <w:szCs w:val="24"/>
                <w:lang w:eastAsia="lt-LT"/>
              </w:rPr>
            </w:pPr>
            <w:r w:rsidRPr="00612A4A">
              <w:rPr>
                <w:sz w:val="22"/>
                <w:lang w:eastAsia="lt-LT"/>
              </w:rPr>
              <w:t>12.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5C6EC061" w14:textId="77777777" w:rsidR="000B6D1B" w:rsidRPr="00612A4A" w:rsidRDefault="000B6D1B" w:rsidP="00D64B86">
            <w:pPr>
              <w:rPr>
                <w:szCs w:val="24"/>
                <w:lang w:eastAsia="lt-LT"/>
              </w:rPr>
            </w:pPr>
            <w:r w:rsidRPr="00612A4A">
              <w:rPr>
                <w:sz w:val="22"/>
                <w:lang w:eastAsia="lt-LT"/>
              </w:rPr>
              <w:t>Poilsio (didelio ploto patalpos)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1FD72DF2" w14:textId="77777777" w:rsidR="000B6D1B" w:rsidRPr="00612A4A" w:rsidRDefault="000B6D1B" w:rsidP="00D64B86">
            <w:pPr>
              <w:jc w:val="center"/>
              <w:rPr>
                <w:szCs w:val="24"/>
                <w:lang w:eastAsia="lt-LT"/>
              </w:rPr>
            </w:pPr>
            <w:r w:rsidRPr="00612A4A">
              <w:rPr>
                <w:sz w:val="22"/>
                <w:lang w:eastAsia="lt-LT"/>
              </w:rPr>
              <w:t>6</w:t>
            </w:r>
          </w:p>
        </w:tc>
      </w:tr>
      <w:tr w:rsidR="000B6D1B" w:rsidRPr="00612A4A" w14:paraId="42CE03F4"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D5B9" w14:textId="77777777" w:rsidR="000B6D1B" w:rsidRPr="00612A4A" w:rsidRDefault="000B6D1B" w:rsidP="00D64B86">
            <w:pPr>
              <w:jc w:val="center"/>
              <w:rPr>
                <w:szCs w:val="24"/>
                <w:lang w:eastAsia="lt-LT"/>
              </w:rPr>
            </w:pPr>
            <w:r w:rsidRPr="00612A4A">
              <w:rPr>
                <w:sz w:val="22"/>
                <w:lang w:eastAsia="lt-LT"/>
              </w:rPr>
              <w:t>13.</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07DF864" w14:textId="77777777" w:rsidR="000B6D1B" w:rsidRPr="00612A4A" w:rsidRDefault="000B6D1B" w:rsidP="00D64B86">
            <w:pPr>
              <w:rPr>
                <w:szCs w:val="24"/>
                <w:lang w:eastAsia="lt-LT"/>
              </w:rPr>
            </w:pPr>
            <w:r w:rsidRPr="00612A4A">
              <w:rPr>
                <w:sz w:val="22"/>
                <w:lang w:eastAsia="lt-LT"/>
              </w:rPr>
              <w:t>Poilsio (mažo ploto patalpos)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3BAEFA88" w14:textId="77777777" w:rsidR="000B6D1B" w:rsidRPr="00612A4A" w:rsidRDefault="000B6D1B" w:rsidP="00D64B86">
            <w:pPr>
              <w:jc w:val="center"/>
              <w:rPr>
                <w:szCs w:val="24"/>
                <w:lang w:eastAsia="lt-LT"/>
              </w:rPr>
            </w:pPr>
            <w:r w:rsidRPr="00612A4A">
              <w:rPr>
                <w:sz w:val="22"/>
                <w:lang w:eastAsia="lt-LT"/>
              </w:rPr>
              <w:t>7,5</w:t>
            </w:r>
          </w:p>
        </w:tc>
      </w:tr>
      <w:tr w:rsidR="000B6D1B" w:rsidRPr="00612A4A" w14:paraId="0B5C0640"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A8B98" w14:textId="77777777" w:rsidR="000B6D1B" w:rsidRPr="00612A4A" w:rsidRDefault="000B6D1B" w:rsidP="00D64B86">
            <w:pPr>
              <w:jc w:val="center"/>
              <w:rPr>
                <w:szCs w:val="24"/>
                <w:lang w:eastAsia="lt-LT"/>
              </w:rPr>
            </w:pPr>
            <w:r w:rsidRPr="00612A4A">
              <w:rPr>
                <w:sz w:val="22"/>
                <w:lang w:eastAsia="lt-LT"/>
              </w:rPr>
              <w:t>14.</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1C4A2BE6" w14:textId="77777777" w:rsidR="000B6D1B" w:rsidRPr="00612A4A" w:rsidRDefault="000B6D1B" w:rsidP="00D64B86">
            <w:pPr>
              <w:rPr>
                <w:szCs w:val="24"/>
                <w:lang w:eastAsia="lt-LT"/>
              </w:rPr>
            </w:pPr>
            <w:r w:rsidRPr="00612A4A">
              <w:rPr>
                <w:sz w:val="22"/>
                <w:lang w:eastAsia="lt-LT"/>
              </w:rPr>
              <w:t>Administracinės (darbo patalpa be pertvarų)</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6482DCC3" w14:textId="77777777" w:rsidR="000B6D1B" w:rsidRPr="00612A4A" w:rsidRDefault="000B6D1B" w:rsidP="00D64B86">
            <w:pPr>
              <w:jc w:val="center"/>
              <w:rPr>
                <w:szCs w:val="24"/>
                <w:lang w:eastAsia="lt-LT"/>
              </w:rPr>
            </w:pPr>
            <w:r w:rsidRPr="00612A4A">
              <w:rPr>
                <w:sz w:val="22"/>
                <w:lang w:eastAsia="lt-LT"/>
              </w:rPr>
              <w:t>2,3</w:t>
            </w:r>
          </w:p>
        </w:tc>
      </w:tr>
      <w:tr w:rsidR="000B6D1B" w:rsidRPr="00612A4A" w14:paraId="041C3506"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87DD2" w14:textId="77777777" w:rsidR="000B6D1B" w:rsidRPr="00612A4A" w:rsidRDefault="000B6D1B" w:rsidP="00D64B86">
            <w:pPr>
              <w:jc w:val="center"/>
              <w:rPr>
                <w:szCs w:val="24"/>
                <w:lang w:eastAsia="lt-LT"/>
              </w:rPr>
            </w:pPr>
            <w:r w:rsidRPr="00612A4A">
              <w:rPr>
                <w:sz w:val="22"/>
                <w:lang w:eastAsia="lt-LT"/>
              </w:rPr>
              <w:t>15.</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17AFC073" w14:textId="77777777" w:rsidR="000B6D1B" w:rsidRPr="00612A4A" w:rsidRDefault="000B6D1B" w:rsidP="00D64B86">
            <w:pPr>
              <w:rPr>
                <w:szCs w:val="24"/>
                <w:lang w:eastAsia="lt-LT"/>
              </w:rPr>
            </w:pPr>
            <w:r w:rsidRPr="00612A4A">
              <w:rPr>
                <w:sz w:val="22"/>
                <w:lang w:eastAsia="lt-LT"/>
              </w:rPr>
              <w:t>Administracinės (pertvaromis atskirtos darbo vietos )</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4C76C97A" w14:textId="77777777" w:rsidR="000B6D1B" w:rsidRPr="00612A4A" w:rsidRDefault="000B6D1B" w:rsidP="00D64B86">
            <w:pPr>
              <w:jc w:val="center"/>
              <w:rPr>
                <w:szCs w:val="24"/>
                <w:lang w:eastAsia="lt-LT"/>
              </w:rPr>
            </w:pPr>
            <w:r w:rsidRPr="00612A4A">
              <w:rPr>
                <w:sz w:val="22"/>
                <w:lang w:eastAsia="lt-LT"/>
              </w:rPr>
              <w:t>3</w:t>
            </w:r>
          </w:p>
        </w:tc>
      </w:tr>
      <w:tr w:rsidR="000B6D1B" w:rsidRPr="00612A4A" w14:paraId="6AED696F"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AE9A4" w14:textId="77777777" w:rsidR="000B6D1B" w:rsidRPr="00612A4A" w:rsidRDefault="000B6D1B" w:rsidP="00D64B86">
            <w:pPr>
              <w:jc w:val="center"/>
              <w:rPr>
                <w:szCs w:val="24"/>
                <w:lang w:eastAsia="lt-LT"/>
              </w:rPr>
            </w:pPr>
            <w:r w:rsidRPr="00612A4A">
              <w:rPr>
                <w:sz w:val="22"/>
                <w:lang w:eastAsia="lt-LT"/>
              </w:rPr>
              <w:t>16.</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0E5216D7" w14:textId="77777777" w:rsidR="000B6D1B" w:rsidRPr="00612A4A" w:rsidRDefault="000B6D1B" w:rsidP="00D64B86">
            <w:pPr>
              <w:rPr>
                <w:szCs w:val="24"/>
                <w:lang w:eastAsia="lt-LT"/>
              </w:rPr>
            </w:pPr>
            <w:r w:rsidRPr="00612A4A">
              <w:rPr>
                <w:sz w:val="22"/>
                <w:lang w:eastAsia="lt-LT"/>
              </w:rPr>
              <w:t>Gamybos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7E42FCE9" w14:textId="77777777" w:rsidR="000B6D1B" w:rsidRPr="00612A4A" w:rsidRDefault="000B6D1B" w:rsidP="00D64B86">
            <w:pPr>
              <w:jc w:val="center"/>
              <w:rPr>
                <w:szCs w:val="24"/>
                <w:lang w:eastAsia="lt-LT"/>
              </w:rPr>
            </w:pPr>
            <w:r w:rsidRPr="00612A4A">
              <w:rPr>
                <w:sz w:val="22"/>
                <w:lang w:eastAsia="lt-LT"/>
              </w:rPr>
              <w:t>3,2</w:t>
            </w:r>
          </w:p>
        </w:tc>
      </w:tr>
      <w:tr w:rsidR="000B6D1B" w:rsidRPr="00612A4A" w14:paraId="627377B2"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2ABA8" w14:textId="77777777" w:rsidR="000B6D1B" w:rsidRPr="00612A4A" w:rsidRDefault="000B6D1B" w:rsidP="00D64B86">
            <w:pPr>
              <w:jc w:val="center"/>
              <w:rPr>
                <w:szCs w:val="24"/>
                <w:lang w:eastAsia="lt-LT"/>
              </w:rPr>
            </w:pPr>
            <w:r w:rsidRPr="00612A4A">
              <w:rPr>
                <w:sz w:val="22"/>
                <w:lang w:eastAsia="lt-LT"/>
              </w:rPr>
              <w:t>17.</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8B007E6" w14:textId="77777777" w:rsidR="000B6D1B" w:rsidRPr="00612A4A" w:rsidRDefault="000B6D1B" w:rsidP="00D64B86">
            <w:pPr>
              <w:rPr>
                <w:szCs w:val="24"/>
                <w:lang w:eastAsia="lt-LT"/>
              </w:rPr>
            </w:pPr>
            <w:r w:rsidRPr="00612A4A">
              <w:rPr>
                <w:sz w:val="22"/>
                <w:lang w:eastAsia="lt-LT"/>
              </w:rPr>
              <w:t>Administracinės (pašto patalpos)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442BE16A" w14:textId="77777777" w:rsidR="000B6D1B" w:rsidRPr="00612A4A" w:rsidRDefault="000B6D1B" w:rsidP="00D64B86">
            <w:pPr>
              <w:jc w:val="center"/>
              <w:rPr>
                <w:szCs w:val="24"/>
                <w:lang w:eastAsia="lt-LT"/>
              </w:rPr>
            </w:pPr>
            <w:r w:rsidRPr="00612A4A">
              <w:rPr>
                <w:sz w:val="22"/>
                <w:lang w:eastAsia="lt-LT"/>
              </w:rPr>
              <w:t>3,2</w:t>
            </w:r>
          </w:p>
        </w:tc>
      </w:tr>
      <w:tr w:rsidR="000B6D1B" w:rsidRPr="00612A4A" w14:paraId="143AC43F"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3DFDA" w14:textId="77777777" w:rsidR="000B6D1B" w:rsidRPr="00612A4A" w:rsidRDefault="000B6D1B" w:rsidP="00D64B86">
            <w:pPr>
              <w:jc w:val="center"/>
              <w:rPr>
                <w:szCs w:val="24"/>
                <w:lang w:eastAsia="lt-LT"/>
              </w:rPr>
            </w:pPr>
            <w:r w:rsidRPr="00612A4A">
              <w:rPr>
                <w:sz w:val="22"/>
                <w:lang w:eastAsia="lt-LT"/>
              </w:rPr>
              <w:t>18.</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2F6F6F29" w14:textId="77777777" w:rsidR="000B6D1B" w:rsidRPr="00612A4A" w:rsidRDefault="000B6D1B" w:rsidP="00D64B86">
            <w:pPr>
              <w:rPr>
                <w:szCs w:val="24"/>
                <w:lang w:eastAsia="lt-LT"/>
              </w:rPr>
            </w:pPr>
            <w:r w:rsidRPr="00612A4A">
              <w:rPr>
                <w:sz w:val="22"/>
                <w:lang w:eastAsia="lt-LT"/>
              </w:rPr>
              <w:t>Specialioji (kalėjimo kameros)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61083DE1" w14:textId="77777777" w:rsidR="000B6D1B" w:rsidRPr="00612A4A" w:rsidRDefault="000B6D1B" w:rsidP="00D64B86">
            <w:pPr>
              <w:jc w:val="center"/>
              <w:rPr>
                <w:szCs w:val="24"/>
                <w:lang w:eastAsia="lt-LT"/>
              </w:rPr>
            </w:pPr>
            <w:r w:rsidRPr="00612A4A">
              <w:rPr>
                <w:sz w:val="22"/>
                <w:lang w:eastAsia="lt-LT"/>
              </w:rPr>
              <w:t>4</w:t>
            </w:r>
          </w:p>
        </w:tc>
      </w:tr>
      <w:tr w:rsidR="000B6D1B" w:rsidRPr="00612A4A" w14:paraId="18E4B421"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60C2" w14:textId="77777777" w:rsidR="000B6D1B" w:rsidRPr="00612A4A" w:rsidRDefault="000B6D1B" w:rsidP="00D64B86">
            <w:pPr>
              <w:jc w:val="center"/>
              <w:rPr>
                <w:szCs w:val="24"/>
                <w:lang w:eastAsia="lt-LT"/>
              </w:rPr>
            </w:pPr>
            <w:r w:rsidRPr="00612A4A">
              <w:rPr>
                <w:sz w:val="22"/>
                <w:lang w:eastAsia="lt-LT"/>
              </w:rPr>
              <w:t>19.</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D97AAF9" w14:textId="77777777" w:rsidR="000B6D1B" w:rsidRPr="00612A4A" w:rsidRDefault="000B6D1B" w:rsidP="00D64B86">
            <w:pPr>
              <w:rPr>
                <w:szCs w:val="24"/>
                <w:lang w:eastAsia="lt-LT"/>
              </w:rPr>
            </w:pPr>
            <w:r w:rsidRPr="00612A4A">
              <w:rPr>
                <w:sz w:val="22"/>
                <w:lang w:eastAsia="lt-LT"/>
              </w:rPr>
              <w:t>Viešbučių (priimamasis)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7E86EAA5" w14:textId="77777777" w:rsidR="000B6D1B" w:rsidRPr="00612A4A" w:rsidRDefault="000B6D1B" w:rsidP="00D64B86">
            <w:pPr>
              <w:jc w:val="center"/>
              <w:rPr>
                <w:szCs w:val="24"/>
                <w:lang w:eastAsia="lt-LT"/>
              </w:rPr>
            </w:pPr>
            <w:r w:rsidRPr="00612A4A">
              <w:rPr>
                <w:sz w:val="22"/>
                <w:lang w:eastAsia="lt-LT"/>
              </w:rPr>
              <w:t>4</w:t>
            </w:r>
          </w:p>
        </w:tc>
      </w:tr>
      <w:tr w:rsidR="000B6D1B" w:rsidRPr="00612A4A" w14:paraId="44AAC76C" w14:textId="77777777" w:rsidTr="00D64B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F16F4" w14:textId="77777777" w:rsidR="000B6D1B" w:rsidRPr="00612A4A" w:rsidRDefault="000B6D1B" w:rsidP="00D64B86">
            <w:pPr>
              <w:jc w:val="center"/>
              <w:rPr>
                <w:szCs w:val="24"/>
                <w:lang w:eastAsia="lt-LT"/>
              </w:rPr>
            </w:pPr>
            <w:r w:rsidRPr="00612A4A">
              <w:rPr>
                <w:sz w:val="22"/>
                <w:lang w:eastAsia="lt-LT"/>
              </w:rPr>
              <w:t>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18054A0" w14:textId="77777777" w:rsidR="000B6D1B" w:rsidRPr="00612A4A" w:rsidRDefault="000B6D1B" w:rsidP="00D64B86">
            <w:pPr>
              <w:rPr>
                <w:szCs w:val="24"/>
                <w:lang w:eastAsia="lt-LT"/>
              </w:rPr>
            </w:pPr>
            <w:r w:rsidRPr="00612A4A">
              <w:rPr>
                <w:sz w:val="22"/>
                <w:lang w:eastAsia="lt-LT"/>
              </w:rPr>
              <w:t>Poilsio (kambariai, tualetų ir vonios patalpos)</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733B4AA0" w14:textId="77777777" w:rsidR="000B6D1B" w:rsidRPr="00612A4A" w:rsidRDefault="000B6D1B" w:rsidP="00D64B86">
            <w:pPr>
              <w:jc w:val="center"/>
              <w:rPr>
                <w:szCs w:val="24"/>
                <w:lang w:eastAsia="lt-LT"/>
              </w:rPr>
            </w:pPr>
            <w:r w:rsidRPr="00612A4A">
              <w:rPr>
                <w:sz w:val="22"/>
                <w:lang w:eastAsia="lt-LT"/>
              </w:rPr>
              <w:t>5</w:t>
            </w:r>
          </w:p>
        </w:tc>
      </w:tr>
    </w:tbl>
    <w:p w14:paraId="66B15844" w14:textId="77777777" w:rsidR="000B6D1B" w:rsidRPr="00612A4A" w:rsidRDefault="000B6D1B" w:rsidP="000B6D1B">
      <w:pPr>
        <w:spacing w:line="276" w:lineRule="atLeast"/>
        <w:ind w:firstLine="851"/>
        <w:jc w:val="both"/>
        <w:rPr>
          <w:color w:val="000000"/>
          <w:szCs w:val="24"/>
          <w:lang w:eastAsia="lt-LT"/>
        </w:rPr>
      </w:pPr>
      <w:r w:rsidRPr="00612A4A">
        <w:rPr>
          <w:color w:val="000000"/>
          <w:szCs w:val="24"/>
          <w:lang w:eastAsia="lt-LT"/>
        </w:rPr>
        <w:t> </w:t>
      </w:r>
    </w:p>
    <w:p w14:paraId="3C942755" w14:textId="77777777" w:rsidR="000B6D1B" w:rsidRPr="00612A4A" w:rsidRDefault="000B6D1B" w:rsidP="000B6D1B">
      <w:pPr>
        <w:ind w:firstLine="851"/>
        <w:jc w:val="both"/>
        <w:rPr>
          <w:color w:val="000000"/>
          <w:szCs w:val="24"/>
          <w:lang w:eastAsia="lt-LT"/>
        </w:rPr>
      </w:pPr>
      <w:bookmarkStart w:id="23" w:name="part_4d96b4ccf3054a629efb8f5c627f61a5"/>
      <w:bookmarkEnd w:id="23"/>
      <w:r w:rsidRPr="00612A4A">
        <w:rPr>
          <w:color w:val="000000"/>
          <w:szCs w:val="24"/>
          <w:lang w:eastAsia="lt-LT"/>
        </w:rPr>
        <w:t>23.3. patalpose, kuriose nėra natūralaus apšvietimo, apšvietimo įrangoje privalo būti įdiegti judesio davikliai ar (ir) sumontuotos laiko relės, išjungiančios apšvietimo įrangą, kai patalpoje nėra žmonių;</w:t>
      </w:r>
    </w:p>
    <w:p w14:paraId="1AB5C0AC" w14:textId="77777777" w:rsidR="000B6D1B" w:rsidRPr="007B2EF7" w:rsidRDefault="000B6D1B" w:rsidP="00CE66C4">
      <w:pPr>
        <w:ind w:firstLine="851"/>
        <w:jc w:val="both"/>
        <w:rPr>
          <w:color w:val="000000"/>
          <w:szCs w:val="24"/>
          <w:lang w:eastAsia="lt-LT"/>
        </w:rPr>
      </w:pPr>
      <w:bookmarkStart w:id="24" w:name="part_7f35de14fc99495ba81f285e2c50baab"/>
      <w:bookmarkEnd w:id="24"/>
      <w:r w:rsidRPr="00612A4A">
        <w:rPr>
          <w:color w:val="000000"/>
          <w:szCs w:val="24"/>
          <w:lang w:eastAsia="lt-LT"/>
        </w:rPr>
        <w:t>23.4. bendrojo naudojimo patalpose, kuriose yra natūralus apšvietimas, apšvietimo įranga turi būti automatinė, kad apšvietimas būtų įjungiamas, stiprinamas ir prislopinamas priklausomai nuo natūralios šviesos srauto, arčiausiai langų esančią apšvietimo įrangą turi būti galima išjungti atskirai. </w:t>
      </w:r>
    </w:p>
    <w:p w14:paraId="49AD4353" w14:textId="77777777" w:rsidR="000B6D1B" w:rsidRDefault="000B6D1B" w:rsidP="000B6D1B">
      <w:pPr>
        <w:rPr>
          <w:sz w:val="18"/>
          <w:szCs w:val="18"/>
        </w:rPr>
      </w:pPr>
    </w:p>
    <w:p w14:paraId="16FCB3E0" w14:textId="77777777" w:rsidR="000B6D1B" w:rsidRDefault="000B6D1B" w:rsidP="000B6D1B">
      <w:pPr>
        <w:keepNext/>
        <w:keepLines/>
        <w:jc w:val="center"/>
        <w:rPr>
          <w:b/>
          <w:bCs/>
          <w:szCs w:val="24"/>
        </w:rPr>
      </w:pPr>
      <w:r>
        <w:rPr>
          <w:b/>
          <w:bCs/>
          <w:szCs w:val="24"/>
          <w:lang w:eastAsia="lt-LT"/>
        </w:rPr>
        <w:t>XV</w:t>
      </w:r>
      <w:r>
        <w:rPr>
          <w:b/>
          <w:bCs/>
          <w:szCs w:val="24"/>
        </w:rPr>
        <w:t xml:space="preserve"> SKYRIUS</w:t>
      </w:r>
    </w:p>
    <w:p w14:paraId="778D615A" w14:textId="77777777" w:rsidR="000B6D1B" w:rsidRPr="00CE66C4" w:rsidRDefault="000B6D1B" w:rsidP="00CE66C4">
      <w:pPr>
        <w:keepNext/>
        <w:keepLines/>
        <w:jc w:val="center"/>
        <w:rPr>
          <w:b/>
          <w:bCs/>
        </w:rPr>
      </w:pPr>
      <w:r>
        <w:rPr>
          <w:b/>
          <w:bCs/>
        </w:rPr>
        <w:t>VANDENS ČIAUPAI IR DUŠAI</w:t>
      </w:r>
    </w:p>
    <w:p w14:paraId="05DCB6C1" w14:textId="77777777" w:rsidR="000B6D1B" w:rsidRDefault="000B6D1B" w:rsidP="000B6D1B">
      <w:pPr>
        <w:ind w:left="34" w:firstLine="817"/>
        <w:jc w:val="both"/>
      </w:pPr>
      <w:r>
        <w:t xml:space="preserve">24. </w:t>
      </w:r>
      <w:r w:rsidRPr="00ED065B">
        <w:t>Vandens čiaupai ir dušai:</w:t>
      </w:r>
    </w:p>
    <w:p w14:paraId="7F5BC3BB" w14:textId="77777777" w:rsidR="000B6D1B" w:rsidRDefault="000B6D1B" w:rsidP="000B6D1B">
      <w:pPr>
        <w:ind w:left="34" w:firstLine="817"/>
        <w:jc w:val="both"/>
        <w:rPr>
          <w:szCs w:val="24"/>
        </w:rPr>
      </w:pPr>
      <w:r>
        <w:t xml:space="preserve">24.1. vandens čiaupai ir dušai turi turėti momentinio vandens panaudojimo trukmės ribojimo galimybę, vadovaujantis bent vienu iš šių minimalių aplinkos apsaugos kriterijų: </w:t>
      </w:r>
    </w:p>
    <w:p w14:paraId="7E70D0EB" w14:textId="77777777" w:rsidR="000B6D1B" w:rsidRDefault="000B6D1B" w:rsidP="000B6D1B">
      <w:pPr>
        <w:ind w:left="34" w:firstLine="817"/>
        <w:jc w:val="both"/>
        <w:rPr>
          <w:szCs w:val="24"/>
        </w:rPr>
      </w:pPr>
      <w:r>
        <w:rPr>
          <w:szCs w:val="24"/>
        </w:rPr>
        <w:t>24.1.1. trukmės kontrolės sistema: nustatyta ilgiausia vandens tekėjimo trukmė čiaupais turi neviršyti 15 sekundžių, dušais – 35 sekundžių. Gaminys turi būti suprojektuotas taip, kad montuotojas galėtų nustatyti tekėjimo trukmę atsižvelgdamas į numatomą gaminio naudojimo būdą;</w:t>
      </w:r>
    </w:p>
    <w:p w14:paraId="490BCE77" w14:textId="77777777" w:rsidR="000B6D1B" w:rsidRDefault="000B6D1B" w:rsidP="00CE66C4">
      <w:pPr>
        <w:ind w:firstLine="851"/>
        <w:jc w:val="both"/>
        <w:rPr>
          <w:szCs w:val="24"/>
        </w:rPr>
      </w:pPr>
      <w:r>
        <w:rPr>
          <w:szCs w:val="24"/>
        </w:rPr>
        <w:t xml:space="preserve">24.1.2. davikliais valdoma sistema: santechnikos įtaisų su davikliu išjungimo atidėjimas baigus leisti vandenį čiaupais turi neviršyti 2 sekundžių, dušais – 3 sekundžių. Santechnikos įtaisuose su davikliu turi būti įmontuotas „techninis saugumo elementas“, kuris būtų iš anksto </w:t>
      </w:r>
      <w:r>
        <w:rPr>
          <w:szCs w:val="24"/>
        </w:rPr>
        <w:lastRenderedPageBreak/>
        <w:t>nustatytas išjungti įtaisą ne vėliau kaip po 2 minučių, kad būtų išvengta avarijos ar nuolatinio vandens tekėjimo iš čiaupo arba dušo, kai jie nenaudojami.</w:t>
      </w:r>
    </w:p>
    <w:p w14:paraId="64FC9840" w14:textId="77777777" w:rsidR="000B6D1B" w:rsidRPr="00612A4A" w:rsidRDefault="000B6D1B" w:rsidP="000B6D1B">
      <w:pPr>
        <w:jc w:val="center"/>
        <w:rPr>
          <w:color w:val="000000"/>
          <w:szCs w:val="24"/>
          <w:lang w:eastAsia="lt-LT"/>
        </w:rPr>
      </w:pPr>
      <w:r w:rsidRPr="00612A4A">
        <w:rPr>
          <w:b/>
          <w:bCs/>
          <w:color w:val="000000"/>
          <w:szCs w:val="24"/>
          <w:lang w:eastAsia="lt-LT"/>
        </w:rPr>
        <w:t>XVI SKYRIUS</w:t>
      </w:r>
    </w:p>
    <w:p w14:paraId="4969B41A" w14:textId="77777777" w:rsidR="000B6D1B" w:rsidRPr="00CE66C4" w:rsidRDefault="000B6D1B" w:rsidP="00CE66C4">
      <w:pPr>
        <w:jc w:val="center"/>
        <w:rPr>
          <w:color w:val="000000"/>
          <w:szCs w:val="24"/>
          <w:lang w:eastAsia="lt-LT"/>
        </w:rPr>
      </w:pPr>
      <w:r w:rsidRPr="00612A4A">
        <w:rPr>
          <w:b/>
          <w:bCs/>
          <w:color w:val="000000"/>
          <w:szCs w:val="24"/>
          <w:lang w:eastAsia="lt-LT"/>
        </w:rPr>
        <w:t>VANDENS ŠILDYTUVAI</w:t>
      </w:r>
    </w:p>
    <w:p w14:paraId="772F3603" w14:textId="77777777" w:rsidR="000B6D1B" w:rsidRPr="00612A4A" w:rsidRDefault="000B6D1B" w:rsidP="000B6D1B">
      <w:pPr>
        <w:ind w:firstLine="851"/>
        <w:jc w:val="both"/>
        <w:rPr>
          <w:color w:val="000000"/>
          <w:szCs w:val="24"/>
          <w:lang w:eastAsia="lt-LT"/>
        </w:rPr>
      </w:pPr>
      <w:bookmarkStart w:id="25" w:name="part_286a179c6be24a25abc1cfb55921ea84"/>
      <w:bookmarkEnd w:id="25"/>
      <w:r w:rsidRPr="00612A4A">
        <w:rPr>
          <w:color w:val="000000"/>
          <w:szCs w:val="24"/>
          <w:lang w:eastAsia="lt-LT"/>
        </w:rPr>
        <w:t>25. Vandens šildytuvai (&lt;400 kW):</w:t>
      </w:r>
    </w:p>
    <w:p w14:paraId="693818DC" w14:textId="77777777" w:rsidR="000B6D1B" w:rsidRPr="00612A4A" w:rsidRDefault="000B6D1B" w:rsidP="000B6D1B">
      <w:pPr>
        <w:ind w:firstLine="851"/>
        <w:jc w:val="both"/>
        <w:rPr>
          <w:color w:val="000000"/>
          <w:szCs w:val="24"/>
          <w:lang w:eastAsia="lt-LT"/>
        </w:rPr>
      </w:pPr>
      <w:bookmarkStart w:id="26" w:name="part_dfb8a3abd68845b4ad3e77d4cf43c5cb"/>
      <w:bookmarkEnd w:id="26"/>
      <w:r w:rsidRPr="00612A4A">
        <w:rPr>
          <w:color w:val="000000"/>
          <w:szCs w:val="24"/>
          <w:lang w:eastAsia="lt-LT"/>
        </w:rPr>
        <w:t>25.1. vadovaujantis Lietuvos Respublikos Vyriausybės 2015 m. birželio 17 d. nutarimu Nr. 621 „Dėl Perkančiosioms organizacijoms taikomų energijos vartojimo efektyvumo reikalavimų prekėms, paslaugoms ir pastatams“, prekės, kurios įtrauktos į Lietuvos Respublikos energetikos ministro 2015 m. birželio 18 d. įsakymu Nr. 1-154 „Dėl Prekių, išskyrus kelių transporto priemones, kurioms viešųjų pirkimų metu taikomi energijos vartojimo efektyvumo reikalavimai, sąrašo patvirtinimo“ patvirtintą Prekių, išskyrus kelių transporto priemones, kurioms viešųjų pirkimų metu taikomi energijos vartojimo efektyvumo reikalavimai, sąrašą, turi atitikti aukščiausio energinio efektyvumo klasę, nustatytą Europos Komisijos reglamentuose dėl gaminių energijos vartojimo efektyvumo ženklinimo reikalavimų. Jeigu minėti reikalavimai prekėms netaikomi, prekės turi atitikti Europos Komisijos reglamentuose dėl gaminių ekologinio projektavimo nustatytus efektyvaus energijos vartojimo kriterijus;</w:t>
      </w:r>
    </w:p>
    <w:p w14:paraId="281E8EDC" w14:textId="77777777" w:rsidR="000B6D1B" w:rsidRDefault="000B6D1B" w:rsidP="00CE66C4">
      <w:pPr>
        <w:ind w:firstLine="851"/>
        <w:jc w:val="both"/>
        <w:rPr>
          <w:bCs/>
          <w:color w:val="000000"/>
          <w:szCs w:val="24"/>
          <w:lang w:eastAsia="lt-LT"/>
        </w:rPr>
      </w:pPr>
      <w:bookmarkStart w:id="27" w:name="part_738f976ed7334ab59cb7526de0f50640"/>
      <w:bookmarkEnd w:id="27"/>
      <w:r w:rsidRPr="00612A4A">
        <w:rPr>
          <w:color w:val="000000"/>
          <w:szCs w:val="24"/>
          <w:lang w:eastAsia="lt-LT"/>
        </w:rPr>
        <w:t>25.2. gaminiui turi būti suteikiama ne trumpesnė kaip 4 metų taisymo arba pakeitimo garantija.</w:t>
      </w:r>
      <w:r w:rsidRPr="007B2EF7">
        <w:rPr>
          <w:bCs/>
          <w:color w:val="000000"/>
          <w:szCs w:val="24"/>
          <w:lang w:eastAsia="lt-LT"/>
        </w:rPr>
        <w:t>[...]“</w:t>
      </w:r>
    </w:p>
    <w:p w14:paraId="375B46B8" w14:textId="77777777" w:rsidR="000B6D1B" w:rsidRDefault="000B6D1B" w:rsidP="00CE66C4">
      <w:pPr>
        <w:ind w:firstLine="851"/>
        <w:jc w:val="both"/>
        <w:rPr>
          <w:bCs/>
          <w:color w:val="000000"/>
          <w:szCs w:val="24"/>
          <w:lang w:eastAsia="lt-LT"/>
        </w:rPr>
      </w:pPr>
      <w:r>
        <w:rPr>
          <w:bCs/>
          <w:color w:val="000000"/>
          <w:szCs w:val="24"/>
          <w:lang w:eastAsia="lt-LT"/>
        </w:rPr>
        <w:t>Produktams, kurių nėra Aprašo produktų sąraše, taikomi Aprašo 4.3 punkto reikalavimai.</w:t>
      </w:r>
    </w:p>
    <w:p w14:paraId="43B4CE8B" w14:textId="77777777" w:rsidR="000B6D1B" w:rsidRPr="00612A4A" w:rsidRDefault="000B6D1B" w:rsidP="000B6D1B">
      <w:pPr>
        <w:ind w:firstLine="851"/>
        <w:jc w:val="both"/>
        <w:rPr>
          <w:color w:val="000000"/>
          <w:szCs w:val="24"/>
          <w:lang w:eastAsia="lt-LT"/>
        </w:rPr>
      </w:pPr>
      <w:r>
        <w:rPr>
          <w:bCs/>
          <w:color w:val="000000"/>
          <w:szCs w:val="24"/>
          <w:lang w:eastAsia="lt-LT"/>
        </w:rPr>
        <w:t>________________________________________________________________</w:t>
      </w:r>
    </w:p>
    <w:p w14:paraId="0A649233" w14:textId="77777777" w:rsidR="000B6D1B" w:rsidRDefault="000B6D1B" w:rsidP="00195E9E">
      <w:pPr>
        <w:spacing w:after="0" w:line="240" w:lineRule="auto"/>
      </w:pPr>
    </w:p>
    <w:p w14:paraId="2DF3DE1E" w14:textId="77777777" w:rsidR="00B14228" w:rsidRDefault="00B14228" w:rsidP="000B6D1B">
      <w:pPr>
        <w:spacing w:after="0" w:line="240" w:lineRule="auto"/>
        <w:jc w:val="right"/>
      </w:pPr>
    </w:p>
    <w:p w14:paraId="4F4970FD" w14:textId="33C8806E" w:rsidR="000B6D1B" w:rsidRDefault="000B6D1B" w:rsidP="000B6D1B">
      <w:pPr>
        <w:spacing w:after="0" w:line="240" w:lineRule="auto"/>
        <w:jc w:val="right"/>
      </w:pPr>
      <w:r>
        <w:t>Paprastojo remonto darbų pirkimo-pardavimo sutarties</w:t>
      </w:r>
    </w:p>
    <w:p w14:paraId="4F80782B" w14:textId="77777777" w:rsidR="000B6D1B" w:rsidRDefault="000B6D1B" w:rsidP="000B6D1B">
      <w:pPr>
        <w:spacing w:after="0" w:line="240" w:lineRule="auto"/>
        <w:jc w:val="right"/>
      </w:pPr>
      <w:r>
        <w:t>Priedas Nr.3</w:t>
      </w:r>
    </w:p>
    <w:p w14:paraId="0E8EF6CC" w14:textId="77777777" w:rsidR="000B6D1B" w:rsidRDefault="000B6D1B" w:rsidP="000B6D1B">
      <w:pPr>
        <w:spacing w:after="0" w:line="240" w:lineRule="auto"/>
        <w:jc w:val="right"/>
      </w:pPr>
    </w:p>
    <w:tbl>
      <w:tblPr>
        <w:tblW w:w="9941" w:type="dxa"/>
        <w:tblLayout w:type="fixed"/>
        <w:tblLook w:val="04A0" w:firstRow="1" w:lastRow="0" w:firstColumn="1" w:lastColumn="0" w:noHBand="0" w:noVBand="1"/>
      </w:tblPr>
      <w:tblGrid>
        <w:gridCol w:w="9941"/>
      </w:tblGrid>
      <w:tr w:rsidR="001A6C0C" w:rsidRPr="00943BF2" w14:paraId="67F3FA50" w14:textId="77777777" w:rsidTr="00D64B86">
        <w:trPr>
          <w:trHeight w:val="255"/>
        </w:trPr>
        <w:tc>
          <w:tcPr>
            <w:tcW w:w="9941" w:type="dxa"/>
            <w:shd w:val="clear" w:color="auto" w:fill="auto"/>
            <w:vAlign w:val="bottom"/>
          </w:tcPr>
          <w:p w14:paraId="1D9E962D" w14:textId="77777777" w:rsidR="001A6C0C" w:rsidRPr="00943BF2" w:rsidRDefault="001A6C0C" w:rsidP="00D64B86">
            <w:pPr>
              <w:spacing w:before="120" w:after="0" w:line="240" w:lineRule="auto"/>
              <w:jc w:val="center"/>
              <w:rPr>
                <w:rFonts w:eastAsia="Times New Roman"/>
                <w:b/>
                <w:bCs/>
                <w:sz w:val="20"/>
                <w:szCs w:val="20"/>
                <w:lang w:eastAsia="lt-LT"/>
              </w:rPr>
            </w:pPr>
            <w:r w:rsidRPr="00943BF2">
              <w:rPr>
                <w:rFonts w:eastAsia="Times New Roman"/>
                <w:b/>
                <w:bCs/>
                <w:szCs w:val="24"/>
                <w:lang w:eastAsia="lt-LT"/>
              </w:rPr>
              <w:t>ATLIKTŲ DARBŲ AKTAS Nr.____</w:t>
            </w:r>
          </w:p>
        </w:tc>
      </w:tr>
      <w:tr w:rsidR="001A6C0C" w:rsidRPr="00943BF2" w14:paraId="6859893C" w14:textId="77777777" w:rsidTr="00D64B86">
        <w:trPr>
          <w:trHeight w:val="255"/>
        </w:trPr>
        <w:tc>
          <w:tcPr>
            <w:tcW w:w="9941" w:type="dxa"/>
            <w:shd w:val="clear" w:color="auto" w:fill="auto"/>
            <w:vAlign w:val="bottom"/>
          </w:tcPr>
          <w:p w14:paraId="15D6B139" w14:textId="77777777" w:rsidR="001A6C0C" w:rsidRPr="00943BF2" w:rsidRDefault="001A6C0C" w:rsidP="00D64B86">
            <w:pPr>
              <w:spacing w:before="120" w:after="0" w:line="240" w:lineRule="auto"/>
              <w:jc w:val="center"/>
              <w:rPr>
                <w:rFonts w:eastAsia="Times New Roman"/>
                <w:b/>
                <w:bCs/>
                <w:sz w:val="20"/>
                <w:szCs w:val="20"/>
                <w:lang w:eastAsia="lt-LT"/>
              </w:rPr>
            </w:pPr>
            <w:r w:rsidRPr="00943BF2">
              <w:rPr>
                <w:rFonts w:eastAsia="Times New Roman"/>
                <w:b/>
                <w:bCs/>
                <w:sz w:val="20"/>
                <w:szCs w:val="20"/>
                <w:lang w:eastAsia="lt-LT"/>
              </w:rPr>
              <w:t>Data___________</w:t>
            </w:r>
          </w:p>
        </w:tc>
      </w:tr>
    </w:tbl>
    <w:p w14:paraId="4DF29F1C" w14:textId="25DD0676" w:rsidR="001A6C0C" w:rsidRPr="00943BF2" w:rsidRDefault="001A6C0C" w:rsidP="001A6C0C">
      <w:pPr>
        <w:pStyle w:val="Stilius3"/>
        <w:spacing w:before="0"/>
        <w:rPr>
          <w:b/>
          <w:bCs/>
          <w:sz w:val="20"/>
          <w:szCs w:val="20"/>
          <w:lang w:eastAsia="lt-LT"/>
        </w:rPr>
      </w:pPr>
      <w:r w:rsidRPr="00943BF2">
        <w:rPr>
          <w:b/>
          <w:bCs/>
          <w:sz w:val="20"/>
          <w:szCs w:val="20"/>
          <w:lang w:eastAsia="lt-LT"/>
        </w:rPr>
        <w:t>Užsakovas:</w:t>
      </w:r>
      <w:r w:rsidR="00E34668">
        <w:rPr>
          <w:b/>
          <w:bCs/>
          <w:sz w:val="20"/>
          <w:szCs w:val="20"/>
          <w:lang w:eastAsia="lt-LT"/>
        </w:rPr>
        <w:t xml:space="preserve"> VšĮ Elektrėnų profesinio mokymo centras</w:t>
      </w:r>
    </w:p>
    <w:p w14:paraId="6FCEC69E" w14:textId="77777777" w:rsidR="001A6C0C" w:rsidRPr="00943BF2" w:rsidRDefault="001A6C0C" w:rsidP="001A6C0C">
      <w:pPr>
        <w:pStyle w:val="Stilius3"/>
        <w:spacing w:before="0"/>
        <w:rPr>
          <w:b/>
          <w:bCs/>
          <w:sz w:val="20"/>
          <w:szCs w:val="20"/>
          <w:lang w:eastAsia="lt-LT"/>
        </w:rPr>
      </w:pPr>
      <w:r w:rsidRPr="00943BF2">
        <w:rPr>
          <w:b/>
          <w:bCs/>
          <w:sz w:val="20"/>
          <w:szCs w:val="20"/>
          <w:lang w:eastAsia="lt-LT"/>
        </w:rPr>
        <w:t>Rangovas:</w:t>
      </w:r>
    </w:p>
    <w:p w14:paraId="6AA6863E" w14:textId="707FA4C1" w:rsidR="001A6C0C" w:rsidRPr="00943BF2" w:rsidRDefault="001A6C0C" w:rsidP="001A6C0C">
      <w:pPr>
        <w:spacing w:after="0" w:line="240" w:lineRule="auto"/>
        <w:rPr>
          <w:b/>
          <w:bCs/>
          <w:sz w:val="20"/>
          <w:szCs w:val="20"/>
          <w:lang w:eastAsia="lt-LT"/>
        </w:rPr>
      </w:pPr>
      <w:r w:rsidRPr="00943BF2">
        <w:rPr>
          <w:b/>
          <w:bCs/>
          <w:sz w:val="20"/>
          <w:szCs w:val="20"/>
          <w:lang w:eastAsia="lt-LT"/>
        </w:rPr>
        <w:t xml:space="preserve">Objektas: </w:t>
      </w:r>
      <w:r w:rsidR="00E34668">
        <w:rPr>
          <w:b/>
          <w:bCs/>
          <w:sz w:val="20"/>
          <w:szCs w:val="20"/>
          <w:lang w:eastAsia="lt-LT"/>
        </w:rPr>
        <w:t>I aukšto tualetas, Rungos g. 18, Elektrėnai</w:t>
      </w:r>
    </w:p>
    <w:p w14:paraId="5949D732" w14:textId="77777777" w:rsidR="00A907C7" w:rsidRPr="00943BF2" w:rsidRDefault="00A907C7" w:rsidP="00A907C7">
      <w:pPr>
        <w:spacing w:after="0" w:line="240" w:lineRule="auto"/>
        <w:rPr>
          <w:b/>
          <w:bCs/>
          <w:sz w:val="20"/>
          <w:szCs w:val="20"/>
          <w:lang w:eastAsia="lt-LT"/>
        </w:rPr>
      </w:pPr>
    </w:p>
    <w:tbl>
      <w:tblPr>
        <w:tblW w:w="10031" w:type="dxa"/>
        <w:tblLayout w:type="fixed"/>
        <w:tblLook w:val="04A0" w:firstRow="1" w:lastRow="0" w:firstColumn="1" w:lastColumn="0" w:noHBand="0" w:noVBand="1"/>
      </w:tblPr>
      <w:tblGrid>
        <w:gridCol w:w="648"/>
        <w:gridCol w:w="1870"/>
        <w:gridCol w:w="709"/>
        <w:gridCol w:w="850"/>
        <w:gridCol w:w="1134"/>
        <w:gridCol w:w="851"/>
        <w:gridCol w:w="1417"/>
        <w:gridCol w:w="1418"/>
        <w:gridCol w:w="1134"/>
      </w:tblGrid>
      <w:tr w:rsidR="00A907C7" w:rsidRPr="00943BF2" w14:paraId="0635F76A" w14:textId="77777777" w:rsidTr="00B90C5F">
        <w:trPr>
          <w:trHeight w:val="1200"/>
        </w:trPr>
        <w:tc>
          <w:tcPr>
            <w:tcW w:w="648" w:type="dxa"/>
            <w:tcBorders>
              <w:top w:val="single" w:sz="4" w:space="0" w:color="auto"/>
              <w:left w:val="single" w:sz="8" w:space="0" w:color="auto"/>
              <w:bottom w:val="nil"/>
              <w:right w:val="single" w:sz="4" w:space="0" w:color="auto"/>
            </w:tcBorders>
            <w:shd w:val="clear" w:color="auto" w:fill="auto"/>
            <w:vAlign w:val="center"/>
          </w:tcPr>
          <w:p w14:paraId="00D1793A" w14:textId="77777777" w:rsidR="00A907C7" w:rsidRPr="00943BF2" w:rsidRDefault="00A907C7" w:rsidP="00B90C5F">
            <w:pPr>
              <w:spacing w:after="0"/>
              <w:jc w:val="center"/>
              <w:rPr>
                <w:b/>
                <w:bCs/>
                <w:color w:val="000000"/>
                <w:sz w:val="18"/>
                <w:szCs w:val="18"/>
                <w:lang w:eastAsia="lt-LT"/>
              </w:rPr>
            </w:pPr>
            <w:r w:rsidRPr="00943BF2">
              <w:rPr>
                <w:b/>
                <w:bCs/>
                <w:color w:val="000000"/>
                <w:sz w:val="18"/>
                <w:szCs w:val="18"/>
                <w:lang w:eastAsia="lt-LT"/>
              </w:rPr>
              <w:t>Eil. Nr.</w:t>
            </w:r>
          </w:p>
        </w:tc>
        <w:tc>
          <w:tcPr>
            <w:tcW w:w="1870" w:type="dxa"/>
            <w:tcBorders>
              <w:top w:val="single" w:sz="4" w:space="0" w:color="auto"/>
              <w:left w:val="nil"/>
              <w:bottom w:val="single" w:sz="4" w:space="0" w:color="auto"/>
              <w:right w:val="single" w:sz="4" w:space="0" w:color="auto"/>
            </w:tcBorders>
            <w:shd w:val="clear" w:color="auto" w:fill="auto"/>
            <w:vAlign w:val="center"/>
          </w:tcPr>
          <w:p w14:paraId="7F24544C" w14:textId="77777777" w:rsidR="00A907C7" w:rsidRPr="00943BF2" w:rsidRDefault="00A907C7" w:rsidP="00B90C5F">
            <w:pPr>
              <w:spacing w:after="0"/>
              <w:jc w:val="center"/>
              <w:rPr>
                <w:b/>
                <w:bCs/>
                <w:color w:val="000000"/>
                <w:sz w:val="18"/>
                <w:szCs w:val="18"/>
                <w:lang w:eastAsia="lt-LT"/>
              </w:rPr>
            </w:pPr>
            <w:r w:rsidRPr="00943BF2">
              <w:rPr>
                <w:b/>
                <w:bCs/>
                <w:color w:val="000000"/>
                <w:sz w:val="18"/>
                <w:szCs w:val="18"/>
                <w:lang w:eastAsia="lt-LT"/>
              </w:rPr>
              <w:t>Darbo pavadinimas</w:t>
            </w:r>
          </w:p>
        </w:tc>
        <w:tc>
          <w:tcPr>
            <w:tcW w:w="709" w:type="dxa"/>
            <w:tcBorders>
              <w:top w:val="single" w:sz="4" w:space="0" w:color="auto"/>
              <w:left w:val="nil"/>
              <w:bottom w:val="nil"/>
              <w:right w:val="nil"/>
            </w:tcBorders>
            <w:shd w:val="clear" w:color="auto" w:fill="auto"/>
            <w:vAlign w:val="center"/>
          </w:tcPr>
          <w:p w14:paraId="2FC2EA96" w14:textId="77777777" w:rsidR="00A907C7" w:rsidRPr="00943BF2" w:rsidRDefault="00A907C7" w:rsidP="00B90C5F">
            <w:pPr>
              <w:spacing w:after="0"/>
              <w:jc w:val="center"/>
              <w:rPr>
                <w:b/>
                <w:bCs/>
                <w:color w:val="000000"/>
                <w:sz w:val="18"/>
                <w:szCs w:val="18"/>
                <w:lang w:eastAsia="lt-LT"/>
              </w:rPr>
            </w:pPr>
            <w:r w:rsidRPr="00943BF2">
              <w:rPr>
                <w:b/>
                <w:bCs/>
                <w:color w:val="000000"/>
                <w:sz w:val="18"/>
                <w:szCs w:val="18"/>
                <w:lang w:eastAsia="lt-LT"/>
              </w:rPr>
              <w:t>Mato vnt.</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14:paraId="63AE4EFD" w14:textId="77777777" w:rsidR="00A907C7" w:rsidRPr="00943BF2" w:rsidRDefault="00A907C7" w:rsidP="00B90C5F">
            <w:pPr>
              <w:spacing w:after="0"/>
              <w:jc w:val="center"/>
              <w:rPr>
                <w:b/>
                <w:bCs/>
                <w:color w:val="000000"/>
                <w:sz w:val="18"/>
                <w:szCs w:val="18"/>
                <w:lang w:eastAsia="lt-LT"/>
              </w:rPr>
            </w:pPr>
            <w:r w:rsidRPr="00943BF2">
              <w:rPr>
                <w:b/>
                <w:bCs/>
                <w:color w:val="000000"/>
                <w:sz w:val="18"/>
                <w:szCs w:val="18"/>
                <w:lang w:eastAsia="lt-LT"/>
              </w:rPr>
              <w:t>Darbo kiekis pagal Sutartį</w:t>
            </w:r>
            <w:r>
              <w:rPr>
                <w:b/>
                <w:bCs/>
                <w:color w:val="000000"/>
                <w:sz w:val="18"/>
                <w:szCs w:val="18"/>
                <w:lang w:eastAsia="lt-LT"/>
              </w:rPr>
              <w:t>, proc.</w:t>
            </w:r>
          </w:p>
        </w:tc>
        <w:tc>
          <w:tcPr>
            <w:tcW w:w="1134" w:type="dxa"/>
            <w:tcBorders>
              <w:top w:val="single" w:sz="4" w:space="0" w:color="auto"/>
              <w:left w:val="nil"/>
              <w:bottom w:val="nil"/>
              <w:right w:val="nil"/>
            </w:tcBorders>
            <w:shd w:val="clear" w:color="auto" w:fill="auto"/>
            <w:vAlign w:val="center"/>
          </w:tcPr>
          <w:p w14:paraId="3119193A" w14:textId="77777777" w:rsidR="00A907C7" w:rsidRPr="00943BF2" w:rsidRDefault="00A907C7" w:rsidP="00B90C5F">
            <w:pPr>
              <w:spacing w:after="0"/>
              <w:jc w:val="center"/>
              <w:rPr>
                <w:b/>
                <w:bCs/>
                <w:color w:val="000000"/>
                <w:sz w:val="18"/>
                <w:szCs w:val="18"/>
                <w:lang w:eastAsia="lt-LT"/>
              </w:rPr>
            </w:pPr>
            <w:r w:rsidRPr="00943BF2">
              <w:rPr>
                <w:b/>
                <w:bCs/>
                <w:color w:val="000000"/>
                <w:sz w:val="18"/>
                <w:szCs w:val="18"/>
                <w:lang w:eastAsia="lt-LT"/>
              </w:rPr>
              <w:t>Faktiškai atliktas Darbo kiekis nuo statybos pradžios</w:t>
            </w:r>
            <w:r>
              <w:rPr>
                <w:b/>
                <w:bCs/>
                <w:color w:val="000000"/>
                <w:sz w:val="18"/>
                <w:szCs w:val="18"/>
                <w:lang w:eastAsia="lt-LT"/>
              </w:rPr>
              <w:t>, proc.</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2AE98D54" w14:textId="77777777" w:rsidR="00A907C7" w:rsidRPr="00943BF2" w:rsidRDefault="00A907C7" w:rsidP="00B90C5F">
            <w:pPr>
              <w:spacing w:after="0"/>
              <w:jc w:val="center"/>
              <w:rPr>
                <w:b/>
                <w:bCs/>
                <w:color w:val="000000"/>
                <w:sz w:val="18"/>
                <w:szCs w:val="18"/>
                <w:lang w:eastAsia="lt-LT"/>
              </w:rPr>
            </w:pPr>
            <w:r w:rsidRPr="00943BF2">
              <w:rPr>
                <w:b/>
                <w:bCs/>
                <w:color w:val="000000"/>
                <w:sz w:val="18"/>
                <w:szCs w:val="18"/>
                <w:lang w:eastAsia="lt-LT"/>
              </w:rPr>
              <w:t>Įkainis (Eur) be PVM pagal Sutartį</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DF9F63" w14:textId="77777777" w:rsidR="00A907C7" w:rsidRPr="00943BF2" w:rsidRDefault="00A907C7" w:rsidP="00B90C5F">
            <w:pPr>
              <w:spacing w:after="0"/>
              <w:jc w:val="center"/>
              <w:rPr>
                <w:b/>
                <w:bCs/>
                <w:color w:val="000000"/>
                <w:sz w:val="18"/>
                <w:szCs w:val="18"/>
                <w:lang w:eastAsia="lt-LT"/>
              </w:rPr>
            </w:pPr>
            <w:r w:rsidRPr="00943BF2">
              <w:rPr>
                <w:b/>
                <w:bCs/>
                <w:color w:val="000000"/>
                <w:sz w:val="18"/>
                <w:szCs w:val="18"/>
                <w:lang w:eastAsia="lt-LT"/>
              </w:rPr>
              <w:t>Faktiškai atliktas Darbų kiekis per atsiskaitomąjį laikotarpį</w:t>
            </w:r>
            <w:r>
              <w:rPr>
                <w:b/>
                <w:bCs/>
                <w:color w:val="000000"/>
                <w:sz w:val="18"/>
                <w:szCs w:val="18"/>
                <w:lang w:eastAsia="lt-LT"/>
              </w:rPr>
              <w:t>, proc.</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F28AEF" w14:textId="77777777" w:rsidR="00A907C7" w:rsidRPr="00943BF2" w:rsidRDefault="00A907C7" w:rsidP="00B90C5F">
            <w:pPr>
              <w:spacing w:after="0"/>
              <w:jc w:val="center"/>
              <w:rPr>
                <w:b/>
                <w:bCs/>
                <w:color w:val="000000"/>
                <w:sz w:val="18"/>
                <w:szCs w:val="18"/>
                <w:lang w:eastAsia="lt-LT"/>
              </w:rPr>
            </w:pPr>
            <w:r w:rsidRPr="00943BF2">
              <w:rPr>
                <w:b/>
                <w:bCs/>
                <w:color w:val="000000"/>
                <w:sz w:val="18"/>
                <w:szCs w:val="18"/>
                <w:lang w:eastAsia="lt-LT"/>
              </w:rPr>
              <w:t>Atsiskaitomojo laikotarpio Darbų suma (Eur) be PVM</w:t>
            </w:r>
          </w:p>
        </w:tc>
        <w:tc>
          <w:tcPr>
            <w:tcW w:w="1134" w:type="dxa"/>
            <w:tcBorders>
              <w:top w:val="single" w:sz="4" w:space="0" w:color="auto"/>
              <w:left w:val="nil"/>
              <w:bottom w:val="single" w:sz="4" w:space="0" w:color="auto"/>
              <w:right w:val="single" w:sz="8" w:space="0" w:color="auto"/>
            </w:tcBorders>
            <w:shd w:val="clear" w:color="auto" w:fill="auto"/>
            <w:vAlign w:val="center"/>
          </w:tcPr>
          <w:p w14:paraId="38C8B0DE" w14:textId="77777777" w:rsidR="00A907C7" w:rsidRPr="00943BF2" w:rsidRDefault="00A907C7" w:rsidP="00B90C5F">
            <w:pPr>
              <w:spacing w:after="0"/>
              <w:jc w:val="center"/>
              <w:rPr>
                <w:b/>
                <w:bCs/>
                <w:color w:val="000000"/>
                <w:sz w:val="18"/>
                <w:szCs w:val="18"/>
                <w:lang w:val="en-US" w:eastAsia="lt-LT"/>
              </w:rPr>
            </w:pPr>
            <w:r w:rsidRPr="00943BF2">
              <w:rPr>
                <w:b/>
                <w:bCs/>
                <w:color w:val="000000"/>
                <w:sz w:val="18"/>
                <w:szCs w:val="18"/>
                <w:lang w:eastAsia="lt-LT"/>
              </w:rPr>
              <w:t xml:space="preserve">Darbo baigtumas, </w:t>
            </w:r>
            <w:r w:rsidRPr="00943BF2">
              <w:rPr>
                <w:b/>
                <w:bCs/>
                <w:color w:val="000000"/>
                <w:sz w:val="18"/>
                <w:szCs w:val="18"/>
                <w:lang w:val="en-US" w:eastAsia="lt-LT"/>
              </w:rPr>
              <w:t>%**</w:t>
            </w:r>
          </w:p>
        </w:tc>
      </w:tr>
      <w:tr w:rsidR="00A907C7" w:rsidRPr="00943BF2" w14:paraId="0403AD17" w14:textId="77777777" w:rsidTr="00B90C5F">
        <w:trPr>
          <w:trHeight w:val="240"/>
        </w:trPr>
        <w:tc>
          <w:tcPr>
            <w:tcW w:w="648" w:type="dxa"/>
            <w:tcBorders>
              <w:top w:val="single" w:sz="4" w:space="0" w:color="auto"/>
              <w:left w:val="single" w:sz="8" w:space="0" w:color="auto"/>
              <w:bottom w:val="single" w:sz="4" w:space="0" w:color="auto"/>
              <w:right w:val="single" w:sz="4" w:space="0" w:color="auto"/>
            </w:tcBorders>
            <w:shd w:val="clear" w:color="auto" w:fill="auto"/>
          </w:tcPr>
          <w:p w14:paraId="5F614AEA" w14:textId="77777777" w:rsidR="00A907C7" w:rsidRPr="00943BF2" w:rsidRDefault="00A907C7" w:rsidP="00B90C5F">
            <w:pPr>
              <w:spacing w:after="0"/>
              <w:rPr>
                <w:b/>
                <w:bCs/>
                <w:sz w:val="18"/>
                <w:szCs w:val="18"/>
                <w:lang w:eastAsia="lt-LT"/>
              </w:rPr>
            </w:pPr>
            <w:r w:rsidRPr="00943BF2">
              <w:rPr>
                <w:b/>
                <w:bCs/>
                <w:sz w:val="18"/>
                <w:szCs w:val="18"/>
                <w:lang w:eastAsia="lt-LT"/>
              </w:rPr>
              <w:t> </w:t>
            </w:r>
          </w:p>
        </w:tc>
        <w:tc>
          <w:tcPr>
            <w:tcW w:w="1870" w:type="dxa"/>
            <w:tcBorders>
              <w:top w:val="nil"/>
              <w:left w:val="nil"/>
              <w:bottom w:val="single" w:sz="4" w:space="0" w:color="auto"/>
              <w:right w:val="single" w:sz="4" w:space="0" w:color="auto"/>
            </w:tcBorders>
            <w:shd w:val="clear" w:color="auto" w:fill="auto"/>
          </w:tcPr>
          <w:p w14:paraId="3283CFB2" w14:textId="77777777" w:rsidR="00A907C7" w:rsidRPr="00943BF2" w:rsidRDefault="00A907C7" w:rsidP="00B90C5F">
            <w:pPr>
              <w:spacing w:after="0"/>
              <w:rPr>
                <w:b/>
                <w:bCs/>
                <w:sz w:val="18"/>
                <w:szCs w:val="18"/>
                <w:lang w:eastAsia="lt-LT"/>
              </w:rPr>
            </w:pPr>
            <w:r w:rsidRPr="00943BF2">
              <w:rPr>
                <w:b/>
                <w:bCs/>
                <w:sz w:val="18"/>
                <w:szCs w:val="18"/>
                <w:lang w:eastAsia="lt-LT"/>
              </w:rPr>
              <w:t> </w:t>
            </w:r>
          </w:p>
        </w:tc>
        <w:tc>
          <w:tcPr>
            <w:tcW w:w="709" w:type="dxa"/>
            <w:tcBorders>
              <w:top w:val="single" w:sz="4" w:space="0" w:color="auto"/>
              <w:left w:val="nil"/>
              <w:bottom w:val="single" w:sz="4" w:space="0" w:color="auto"/>
              <w:right w:val="nil"/>
            </w:tcBorders>
            <w:shd w:val="clear" w:color="auto" w:fill="auto"/>
            <w:vAlign w:val="bottom"/>
          </w:tcPr>
          <w:p w14:paraId="05C3AD98" w14:textId="77777777" w:rsidR="00A907C7" w:rsidRPr="00943BF2" w:rsidRDefault="00A907C7" w:rsidP="00B90C5F">
            <w:pPr>
              <w:spacing w:after="0"/>
              <w:jc w:val="center"/>
              <w:rPr>
                <w:b/>
                <w:bCs/>
                <w:sz w:val="18"/>
                <w:szCs w:val="18"/>
                <w:lang w:eastAsia="lt-LT"/>
              </w:rPr>
            </w:pPr>
            <w:r w:rsidRPr="00943BF2">
              <w:rPr>
                <w:b/>
                <w:bCs/>
                <w:sz w:val="18"/>
                <w:szCs w:val="18"/>
                <w:lang w:eastAsia="lt-LT"/>
              </w:rPr>
              <w:t> </w:t>
            </w:r>
          </w:p>
        </w:tc>
        <w:tc>
          <w:tcPr>
            <w:tcW w:w="850" w:type="dxa"/>
            <w:tcBorders>
              <w:top w:val="nil"/>
              <w:left w:val="single" w:sz="8" w:space="0" w:color="auto"/>
              <w:bottom w:val="single" w:sz="4" w:space="0" w:color="auto"/>
              <w:right w:val="single" w:sz="4" w:space="0" w:color="auto"/>
            </w:tcBorders>
            <w:shd w:val="clear" w:color="auto" w:fill="auto"/>
          </w:tcPr>
          <w:p w14:paraId="3EE75019" w14:textId="77777777" w:rsidR="00A907C7" w:rsidRPr="00943BF2" w:rsidRDefault="00A907C7" w:rsidP="00B90C5F">
            <w:pPr>
              <w:spacing w:after="0"/>
              <w:jc w:val="right"/>
              <w:rPr>
                <w:b/>
                <w:bCs/>
                <w:sz w:val="18"/>
                <w:szCs w:val="18"/>
                <w:lang w:eastAsia="lt-LT"/>
              </w:rPr>
            </w:pPr>
            <w:r w:rsidRPr="00943BF2">
              <w:rPr>
                <w:b/>
                <w:bCs/>
                <w:sz w:val="18"/>
                <w:szCs w:val="18"/>
                <w:lang w:eastAsia="lt-LT"/>
              </w:rPr>
              <w:t> </w:t>
            </w:r>
          </w:p>
        </w:tc>
        <w:tc>
          <w:tcPr>
            <w:tcW w:w="1134" w:type="dxa"/>
            <w:tcBorders>
              <w:top w:val="single" w:sz="4" w:space="0" w:color="auto"/>
              <w:left w:val="nil"/>
              <w:bottom w:val="single" w:sz="4" w:space="0" w:color="auto"/>
              <w:right w:val="single" w:sz="4" w:space="0" w:color="auto"/>
            </w:tcBorders>
            <w:shd w:val="clear" w:color="auto" w:fill="auto"/>
          </w:tcPr>
          <w:p w14:paraId="4AF8AB8B" w14:textId="77777777" w:rsidR="00A907C7" w:rsidRPr="00943BF2" w:rsidRDefault="00A907C7" w:rsidP="00B90C5F">
            <w:pPr>
              <w:spacing w:after="0"/>
              <w:jc w:val="right"/>
              <w:rPr>
                <w:b/>
                <w:bCs/>
                <w:sz w:val="18"/>
                <w:szCs w:val="18"/>
                <w:lang w:eastAsia="lt-LT"/>
              </w:rPr>
            </w:pPr>
            <w:r w:rsidRPr="00943BF2">
              <w:rPr>
                <w:b/>
                <w:bCs/>
                <w:sz w:val="18"/>
                <w:szCs w:val="18"/>
                <w:lang w:eastAsia="lt-LT"/>
              </w:rPr>
              <w:t> </w:t>
            </w:r>
          </w:p>
        </w:tc>
        <w:tc>
          <w:tcPr>
            <w:tcW w:w="851" w:type="dxa"/>
            <w:tcBorders>
              <w:top w:val="nil"/>
              <w:left w:val="nil"/>
              <w:bottom w:val="single" w:sz="4" w:space="0" w:color="auto"/>
              <w:right w:val="single" w:sz="8" w:space="0" w:color="auto"/>
            </w:tcBorders>
            <w:shd w:val="clear" w:color="auto" w:fill="auto"/>
          </w:tcPr>
          <w:p w14:paraId="40D9D2E1" w14:textId="77777777" w:rsidR="00A907C7" w:rsidRPr="00943BF2" w:rsidRDefault="00A907C7" w:rsidP="00B90C5F">
            <w:pPr>
              <w:spacing w:after="0"/>
              <w:jc w:val="right"/>
              <w:rPr>
                <w:b/>
                <w:bCs/>
                <w:sz w:val="18"/>
                <w:szCs w:val="18"/>
                <w:lang w:eastAsia="lt-LT"/>
              </w:rPr>
            </w:pPr>
            <w:r w:rsidRPr="00943BF2">
              <w:rPr>
                <w:b/>
                <w:bCs/>
                <w:sz w:val="18"/>
                <w:szCs w:val="18"/>
                <w:lang w:eastAsia="lt-LT"/>
              </w:rPr>
              <w:t> </w:t>
            </w:r>
          </w:p>
        </w:tc>
        <w:tc>
          <w:tcPr>
            <w:tcW w:w="1417" w:type="dxa"/>
            <w:tcBorders>
              <w:top w:val="nil"/>
              <w:left w:val="nil"/>
              <w:bottom w:val="single" w:sz="4" w:space="0" w:color="auto"/>
              <w:right w:val="single" w:sz="4" w:space="0" w:color="auto"/>
            </w:tcBorders>
            <w:shd w:val="clear" w:color="auto" w:fill="auto"/>
          </w:tcPr>
          <w:p w14:paraId="7F7BE457" w14:textId="77777777" w:rsidR="00A907C7" w:rsidRPr="00943BF2" w:rsidRDefault="00A907C7" w:rsidP="00B90C5F">
            <w:pPr>
              <w:spacing w:after="0"/>
              <w:jc w:val="right"/>
              <w:rPr>
                <w:b/>
                <w:bCs/>
                <w:sz w:val="18"/>
                <w:szCs w:val="18"/>
                <w:lang w:eastAsia="lt-LT"/>
              </w:rPr>
            </w:pPr>
            <w:r w:rsidRPr="00943BF2">
              <w:rPr>
                <w:b/>
                <w:bCs/>
                <w:sz w:val="18"/>
                <w:szCs w:val="18"/>
                <w:lang w:eastAsia="lt-LT"/>
              </w:rPr>
              <w:t> </w:t>
            </w:r>
          </w:p>
        </w:tc>
        <w:tc>
          <w:tcPr>
            <w:tcW w:w="1418" w:type="dxa"/>
            <w:tcBorders>
              <w:top w:val="nil"/>
              <w:left w:val="nil"/>
              <w:bottom w:val="single" w:sz="4" w:space="0" w:color="auto"/>
              <w:right w:val="single" w:sz="4" w:space="0" w:color="auto"/>
            </w:tcBorders>
            <w:shd w:val="clear" w:color="auto" w:fill="auto"/>
          </w:tcPr>
          <w:p w14:paraId="4EF3DF4E" w14:textId="77777777" w:rsidR="00A907C7" w:rsidRPr="00943BF2" w:rsidRDefault="00A907C7" w:rsidP="00B90C5F">
            <w:pPr>
              <w:spacing w:after="0"/>
              <w:jc w:val="right"/>
              <w:rPr>
                <w:b/>
                <w:bCs/>
                <w:sz w:val="18"/>
                <w:szCs w:val="18"/>
                <w:lang w:eastAsia="lt-LT"/>
              </w:rPr>
            </w:pPr>
            <w:r w:rsidRPr="00943BF2">
              <w:rPr>
                <w:b/>
                <w:bCs/>
                <w:sz w:val="18"/>
                <w:szCs w:val="18"/>
                <w:lang w:eastAsia="lt-LT"/>
              </w:rPr>
              <w:t> </w:t>
            </w:r>
          </w:p>
        </w:tc>
        <w:tc>
          <w:tcPr>
            <w:tcW w:w="1134" w:type="dxa"/>
            <w:tcBorders>
              <w:top w:val="nil"/>
              <w:left w:val="nil"/>
              <w:bottom w:val="single" w:sz="4" w:space="0" w:color="auto"/>
              <w:right w:val="single" w:sz="8" w:space="0" w:color="auto"/>
            </w:tcBorders>
            <w:shd w:val="clear" w:color="auto" w:fill="auto"/>
          </w:tcPr>
          <w:p w14:paraId="7CCA9D5B" w14:textId="77777777" w:rsidR="00A907C7" w:rsidRPr="00943BF2" w:rsidRDefault="00A907C7" w:rsidP="00B90C5F">
            <w:pPr>
              <w:spacing w:after="0"/>
              <w:jc w:val="right"/>
              <w:rPr>
                <w:b/>
                <w:bCs/>
                <w:sz w:val="18"/>
                <w:szCs w:val="18"/>
                <w:lang w:eastAsia="lt-LT"/>
              </w:rPr>
            </w:pPr>
            <w:r w:rsidRPr="00943BF2">
              <w:rPr>
                <w:b/>
                <w:bCs/>
                <w:sz w:val="18"/>
                <w:szCs w:val="18"/>
                <w:lang w:eastAsia="lt-LT"/>
              </w:rPr>
              <w:t> </w:t>
            </w:r>
          </w:p>
        </w:tc>
      </w:tr>
      <w:tr w:rsidR="00A907C7" w:rsidRPr="00943BF2" w14:paraId="225CF756" w14:textId="77777777" w:rsidTr="00B90C5F">
        <w:trPr>
          <w:trHeight w:val="240"/>
        </w:trPr>
        <w:tc>
          <w:tcPr>
            <w:tcW w:w="648" w:type="dxa"/>
            <w:tcBorders>
              <w:top w:val="nil"/>
              <w:left w:val="single" w:sz="8" w:space="0" w:color="auto"/>
              <w:bottom w:val="single" w:sz="4" w:space="0" w:color="auto"/>
              <w:right w:val="single" w:sz="4" w:space="0" w:color="auto"/>
            </w:tcBorders>
            <w:shd w:val="clear" w:color="auto" w:fill="auto"/>
          </w:tcPr>
          <w:p w14:paraId="1C13F6BE" w14:textId="77777777" w:rsidR="00A907C7" w:rsidRPr="00943BF2" w:rsidRDefault="00A907C7" w:rsidP="00B90C5F">
            <w:pPr>
              <w:spacing w:after="0"/>
              <w:rPr>
                <w:sz w:val="18"/>
                <w:szCs w:val="18"/>
                <w:lang w:eastAsia="lt-LT"/>
              </w:rPr>
            </w:pPr>
            <w:r w:rsidRPr="00943BF2">
              <w:rPr>
                <w:sz w:val="18"/>
                <w:szCs w:val="18"/>
                <w:lang w:eastAsia="lt-LT"/>
              </w:rPr>
              <w:t> </w:t>
            </w:r>
          </w:p>
        </w:tc>
        <w:tc>
          <w:tcPr>
            <w:tcW w:w="1870" w:type="dxa"/>
            <w:tcBorders>
              <w:top w:val="nil"/>
              <w:left w:val="nil"/>
              <w:bottom w:val="nil"/>
              <w:right w:val="single" w:sz="4" w:space="0" w:color="auto"/>
            </w:tcBorders>
            <w:shd w:val="clear" w:color="auto" w:fill="auto"/>
          </w:tcPr>
          <w:p w14:paraId="44ED9105" w14:textId="77777777" w:rsidR="00A907C7" w:rsidRPr="00943BF2" w:rsidRDefault="00A907C7" w:rsidP="00B90C5F">
            <w:pPr>
              <w:spacing w:after="0"/>
              <w:rPr>
                <w:b/>
                <w:bCs/>
                <w:i/>
                <w:iCs/>
                <w:sz w:val="18"/>
                <w:szCs w:val="18"/>
                <w:lang w:eastAsia="lt-LT"/>
              </w:rPr>
            </w:pPr>
          </w:p>
        </w:tc>
        <w:tc>
          <w:tcPr>
            <w:tcW w:w="709" w:type="dxa"/>
            <w:tcBorders>
              <w:top w:val="nil"/>
              <w:left w:val="nil"/>
              <w:bottom w:val="nil"/>
              <w:right w:val="nil"/>
            </w:tcBorders>
            <w:shd w:val="clear" w:color="auto" w:fill="auto"/>
            <w:vAlign w:val="bottom"/>
          </w:tcPr>
          <w:p w14:paraId="68E136EB" w14:textId="77777777" w:rsidR="00A907C7" w:rsidRPr="00943BF2" w:rsidRDefault="00A907C7" w:rsidP="00B90C5F">
            <w:pPr>
              <w:spacing w:after="0"/>
              <w:jc w:val="center"/>
              <w:rPr>
                <w:sz w:val="18"/>
                <w:szCs w:val="18"/>
                <w:lang w:eastAsia="lt-LT"/>
              </w:rPr>
            </w:pPr>
            <w:r w:rsidRPr="00943BF2">
              <w:rPr>
                <w:sz w:val="18"/>
                <w:szCs w:val="18"/>
                <w:lang w:eastAsia="lt-LT"/>
              </w:rPr>
              <w:t> </w:t>
            </w:r>
          </w:p>
        </w:tc>
        <w:tc>
          <w:tcPr>
            <w:tcW w:w="850" w:type="dxa"/>
            <w:tcBorders>
              <w:top w:val="nil"/>
              <w:left w:val="single" w:sz="8" w:space="0" w:color="auto"/>
              <w:bottom w:val="nil"/>
              <w:right w:val="single" w:sz="4" w:space="0" w:color="auto"/>
            </w:tcBorders>
            <w:shd w:val="clear" w:color="auto" w:fill="auto"/>
            <w:vAlign w:val="bottom"/>
          </w:tcPr>
          <w:p w14:paraId="2304C7DD"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nil"/>
              <w:left w:val="nil"/>
              <w:bottom w:val="nil"/>
              <w:right w:val="single" w:sz="4" w:space="0" w:color="auto"/>
            </w:tcBorders>
            <w:shd w:val="clear" w:color="auto" w:fill="auto"/>
            <w:vAlign w:val="bottom"/>
          </w:tcPr>
          <w:p w14:paraId="097431BF"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851" w:type="dxa"/>
            <w:tcBorders>
              <w:top w:val="nil"/>
              <w:left w:val="nil"/>
              <w:bottom w:val="nil"/>
              <w:right w:val="single" w:sz="8" w:space="0" w:color="auto"/>
            </w:tcBorders>
            <w:shd w:val="clear" w:color="auto" w:fill="auto"/>
            <w:vAlign w:val="bottom"/>
          </w:tcPr>
          <w:p w14:paraId="49A5124D"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7" w:type="dxa"/>
            <w:tcBorders>
              <w:top w:val="nil"/>
              <w:left w:val="nil"/>
              <w:bottom w:val="nil"/>
              <w:right w:val="single" w:sz="4" w:space="0" w:color="auto"/>
            </w:tcBorders>
            <w:shd w:val="clear" w:color="auto" w:fill="auto"/>
            <w:vAlign w:val="bottom"/>
          </w:tcPr>
          <w:p w14:paraId="5CBBEA5D"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8" w:type="dxa"/>
            <w:tcBorders>
              <w:top w:val="nil"/>
              <w:left w:val="nil"/>
              <w:bottom w:val="nil"/>
              <w:right w:val="nil"/>
            </w:tcBorders>
            <w:shd w:val="clear" w:color="auto" w:fill="auto"/>
            <w:vAlign w:val="bottom"/>
          </w:tcPr>
          <w:p w14:paraId="301ADC2F"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nil"/>
              <w:left w:val="single" w:sz="4" w:space="0" w:color="auto"/>
              <w:bottom w:val="nil"/>
              <w:right w:val="single" w:sz="8" w:space="0" w:color="auto"/>
            </w:tcBorders>
            <w:shd w:val="clear" w:color="auto" w:fill="auto"/>
            <w:vAlign w:val="bottom"/>
          </w:tcPr>
          <w:p w14:paraId="117DCE38" w14:textId="77777777" w:rsidR="00A907C7" w:rsidRPr="00943BF2" w:rsidRDefault="00A907C7" w:rsidP="00B90C5F">
            <w:pPr>
              <w:spacing w:after="0"/>
              <w:jc w:val="right"/>
              <w:rPr>
                <w:sz w:val="18"/>
                <w:szCs w:val="18"/>
                <w:lang w:eastAsia="lt-LT"/>
              </w:rPr>
            </w:pPr>
            <w:r w:rsidRPr="00943BF2">
              <w:rPr>
                <w:sz w:val="18"/>
                <w:szCs w:val="18"/>
                <w:lang w:eastAsia="lt-LT"/>
              </w:rPr>
              <w:t> </w:t>
            </w:r>
          </w:p>
        </w:tc>
      </w:tr>
      <w:tr w:rsidR="00A907C7" w:rsidRPr="00943BF2" w14:paraId="5DEEBDA3" w14:textId="77777777" w:rsidTr="00B90C5F">
        <w:trPr>
          <w:trHeight w:val="240"/>
        </w:trPr>
        <w:tc>
          <w:tcPr>
            <w:tcW w:w="648" w:type="dxa"/>
            <w:tcBorders>
              <w:top w:val="single" w:sz="4" w:space="0" w:color="auto"/>
              <w:left w:val="single" w:sz="8" w:space="0" w:color="auto"/>
              <w:bottom w:val="single" w:sz="4" w:space="0" w:color="auto"/>
              <w:right w:val="single" w:sz="4" w:space="0" w:color="auto"/>
            </w:tcBorders>
            <w:shd w:val="clear" w:color="000000" w:fill="FFFFFF"/>
          </w:tcPr>
          <w:p w14:paraId="63897289" w14:textId="77777777" w:rsidR="00A907C7" w:rsidRPr="00943BF2" w:rsidRDefault="00A907C7" w:rsidP="00B90C5F">
            <w:pPr>
              <w:spacing w:after="0"/>
              <w:rPr>
                <w:sz w:val="18"/>
                <w:szCs w:val="18"/>
                <w:lang w:eastAsia="lt-LT"/>
              </w:rPr>
            </w:pPr>
          </w:p>
        </w:tc>
        <w:tc>
          <w:tcPr>
            <w:tcW w:w="1870" w:type="dxa"/>
            <w:tcBorders>
              <w:top w:val="single" w:sz="4" w:space="0" w:color="auto"/>
              <w:left w:val="nil"/>
              <w:bottom w:val="nil"/>
              <w:right w:val="single" w:sz="4" w:space="0" w:color="auto"/>
            </w:tcBorders>
            <w:shd w:val="clear" w:color="auto" w:fill="auto"/>
          </w:tcPr>
          <w:p w14:paraId="2AFBD8DF" w14:textId="77777777" w:rsidR="00A907C7" w:rsidRPr="00943BF2" w:rsidRDefault="00A907C7" w:rsidP="00B90C5F">
            <w:pPr>
              <w:spacing w:after="0"/>
              <w:rPr>
                <w:i/>
                <w:iCs/>
                <w:sz w:val="18"/>
                <w:szCs w:val="18"/>
                <w:lang w:eastAsia="lt-LT"/>
              </w:rPr>
            </w:pPr>
          </w:p>
        </w:tc>
        <w:tc>
          <w:tcPr>
            <w:tcW w:w="709" w:type="dxa"/>
            <w:tcBorders>
              <w:top w:val="single" w:sz="4" w:space="0" w:color="auto"/>
              <w:left w:val="nil"/>
              <w:bottom w:val="nil"/>
              <w:right w:val="nil"/>
            </w:tcBorders>
            <w:shd w:val="clear" w:color="auto" w:fill="auto"/>
            <w:vAlign w:val="bottom"/>
          </w:tcPr>
          <w:p w14:paraId="1ABBBA75" w14:textId="77777777" w:rsidR="00A907C7" w:rsidRPr="00943BF2" w:rsidRDefault="00A907C7" w:rsidP="00B90C5F">
            <w:pPr>
              <w:spacing w:after="0"/>
              <w:jc w:val="center"/>
              <w:rPr>
                <w:sz w:val="18"/>
                <w:szCs w:val="18"/>
                <w:lang w:eastAsia="lt-LT"/>
              </w:rPr>
            </w:pPr>
            <w:r w:rsidRPr="00943BF2">
              <w:rPr>
                <w:sz w:val="18"/>
                <w:szCs w:val="18"/>
                <w:lang w:eastAsia="lt-LT"/>
              </w:rPr>
              <w:t> </w:t>
            </w:r>
          </w:p>
        </w:tc>
        <w:tc>
          <w:tcPr>
            <w:tcW w:w="850" w:type="dxa"/>
            <w:tcBorders>
              <w:top w:val="single" w:sz="4" w:space="0" w:color="auto"/>
              <w:left w:val="single" w:sz="8" w:space="0" w:color="auto"/>
              <w:bottom w:val="nil"/>
              <w:right w:val="single" w:sz="4" w:space="0" w:color="auto"/>
            </w:tcBorders>
            <w:shd w:val="clear" w:color="auto" w:fill="auto"/>
            <w:vAlign w:val="bottom"/>
          </w:tcPr>
          <w:p w14:paraId="2EECCD02"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single" w:sz="4" w:space="0" w:color="auto"/>
              <w:left w:val="nil"/>
              <w:bottom w:val="nil"/>
              <w:right w:val="single" w:sz="4" w:space="0" w:color="auto"/>
            </w:tcBorders>
            <w:shd w:val="clear" w:color="auto" w:fill="auto"/>
            <w:vAlign w:val="bottom"/>
          </w:tcPr>
          <w:p w14:paraId="4D818989"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851" w:type="dxa"/>
            <w:tcBorders>
              <w:top w:val="single" w:sz="4" w:space="0" w:color="auto"/>
              <w:left w:val="nil"/>
              <w:bottom w:val="nil"/>
              <w:right w:val="single" w:sz="8" w:space="0" w:color="auto"/>
            </w:tcBorders>
            <w:shd w:val="clear" w:color="auto" w:fill="auto"/>
            <w:vAlign w:val="bottom"/>
          </w:tcPr>
          <w:p w14:paraId="7D86355E"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7" w:type="dxa"/>
            <w:tcBorders>
              <w:top w:val="single" w:sz="4" w:space="0" w:color="auto"/>
              <w:left w:val="nil"/>
              <w:bottom w:val="nil"/>
              <w:right w:val="single" w:sz="4" w:space="0" w:color="auto"/>
            </w:tcBorders>
            <w:shd w:val="clear" w:color="auto" w:fill="auto"/>
            <w:vAlign w:val="bottom"/>
          </w:tcPr>
          <w:p w14:paraId="20BA46DE"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8" w:type="dxa"/>
            <w:tcBorders>
              <w:top w:val="single" w:sz="4" w:space="0" w:color="auto"/>
              <w:left w:val="nil"/>
              <w:bottom w:val="nil"/>
              <w:right w:val="nil"/>
            </w:tcBorders>
            <w:shd w:val="clear" w:color="auto" w:fill="auto"/>
            <w:vAlign w:val="bottom"/>
          </w:tcPr>
          <w:p w14:paraId="253D85E5"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single" w:sz="4" w:space="0" w:color="auto"/>
              <w:left w:val="single" w:sz="4" w:space="0" w:color="auto"/>
              <w:bottom w:val="nil"/>
              <w:right w:val="single" w:sz="8" w:space="0" w:color="auto"/>
            </w:tcBorders>
            <w:shd w:val="clear" w:color="auto" w:fill="auto"/>
            <w:vAlign w:val="bottom"/>
          </w:tcPr>
          <w:p w14:paraId="44467476" w14:textId="77777777" w:rsidR="00A907C7" w:rsidRPr="00943BF2" w:rsidRDefault="00A907C7" w:rsidP="00B90C5F">
            <w:pPr>
              <w:spacing w:after="0"/>
              <w:jc w:val="right"/>
              <w:rPr>
                <w:sz w:val="18"/>
                <w:szCs w:val="18"/>
                <w:lang w:eastAsia="lt-LT"/>
              </w:rPr>
            </w:pPr>
            <w:r w:rsidRPr="00943BF2">
              <w:rPr>
                <w:sz w:val="18"/>
                <w:szCs w:val="18"/>
                <w:lang w:eastAsia="lt-LT"/>
              </w:rPr>
              <w:t> </w:t>
            </w:r>
          </w:p>
        </w:tc>
      </w:tr>
      <w:tr w:rsidR="00A907C7" w:rsidRPr="00943BF2" w14:paraId="7B448376" w14:textId="77777777" w:rsidTr="00B90C5F">
        <w:trPr>
          <w:trHeight w:val="240"/>
        </w:trPr>
        <w:tc>
          <w:tcPr>
            <w:tcW w:w="648" w:type="dxa"/>
            <w:tcBorders>
              <w:top w:val="single" w:sz="4" w:space="0" w:color="auto"/>
              <w:left w:val="single" w:sz="8" w:space="0" w:color="auto"/>
              <w:bottom w:val="single" w:sz="4" w:space="0" w:color="auto"/>
              <w:right w:val="single" w:sz="4" w:space="0" w:color="auto"/>
            </w:tcBorders>
            <w:shd w:val="clear" w:color="auto" w:fill="auto"/>
          </w:tcPr>
          <w:p w14:paraId="2AEE1033" w14:textId="77777777" w:rsidR="00A907C7" w:rsidRPr="00943BF2" w:rsidRDefault="00A907C7" w:rsidP="00B90C5F">
            <w:pPr>
              <w:spacing w:after="0"/>
              <w:rPr>
                <w:sz w:val="18"/>
                <w:szCs w:val="18"/>
                <w:lang w:eastAsia="lt-LT"/>
              </w:rPr>
            </w:pPr>
            <w:r w:rsidRPr="00943BF2">
              <w:rPr>
                <w:sz w:val="18"/>
                <w:szCs w:val="18"/>
                <w:lang w:eastAsia="lt-LT"/>
              </w:rPr>
              <w:t> </w:t>
            </w:r>
          </w:p>
        </w:tc>
        <w:tc>
          <w:tcPr>
            <w:tcW w:w="1870" w:type="dxa"/>
            <w:tcBorders>
              <w:top w:val="single" w:sz="4" w:space="0" w:color="auto"/>
              <w:left w:val="nil"/>
              <w:bottom w:val="single" w:sz="4" w:space="0" w:color="auto"/>
              <w:right w:val="single" w:sz="4" w:space="0" w:color="auto"/>
            </w:tcBorders>
            <w:shd w:val="clear" w:color="auto" w:fill="auto"/>
          </w:tcPr>
          <w:p w14:paraId="09F04348" w14:textId="77777777" w:rsidR="00A907C7" w:rsidRPr="00943BF2" w:rsidRDefault="00A907C7" w:rsidP="00B90C5F">
            <w:pPr>
              <w:spacing w:after="0"/>
              <w:rPr>
                <w:sz w:val="18"/>
                <w:szCs w:val="18"/>
                <w:lang w:eastAsia="lt-LT"/>
              </w:rPr>
            </w:pPr>
            <w:r w:rsidRPr="00943BF2">
              <w:rPr>
                <w:sz w:val="18"/>
                <w:szCs w:val="18"/>
                <w:lang w:eastAsia="lt-LT"/>
              </w:rPr>
              <w:t> </w:t>
            </w:r>
          </w:p>
        </w:tc>
        <w:tc>
          <w:tcPr>
            <w:tcW w:w="709" w:type="dxa"/>
            <w:tcBorders>
              <w:top w:val="single" w:sz="4" w:space="0" w:color="auto"/>
              <w:left w:val="nil"/>
              <w:bottom w:val="single" w:sz="4" w:space="0" w:color="auto"/>
              <w:right w:val="single" w:sz="8" w:space="0" w:color="auto"/>
            </w:tcBorders>
            <w:shd w:val="clear" w:color="auto" w:fill="auto"/>
            <w:vAlign w:val="bottom"/>
          </w:tcPr>
          <w:p w14:paraId="6151D0F5" w14:textId="77777777" w:rsidR="00A907C7" w:rsidRPr="00943BF2" w:rsidRDefault="00A907C7" w:rsidP="00B90C5F">
            <w:pPr>
              <w:spacing w:after="0"/>
              <w:jc w:val="center"/>
              <w:rPr>
                <w:sz w:val="18"/>
                <w:szCs w:val="18"/>
                <w:lang w:eastAsia="lt-LT"/>
              </w:rPr>
            </w:pPr>
            <w:r w:rsidRPr="00943BF2">
              <w:rPr>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1ACA42DD"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single" w:sz="4" w:space="0" w:color="auto"/>
              <w:left w:val="nil"/>
              <w:bottom w:val="single" w:sz="4" w:space="0" w:color="auto"/>
              <w:right w:val="single" w:sz="4" w:space="0" w:color="auto"/>
            </w:tcBorders>
            <w:shd w:val="clear" w:color="auto" w:fill="auto"/>
            <w:vAlign w:val="bottom"/>
          </w:tcPr>
          <w:p w14:paraId="5C73D56D"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851" w:type="dxa"/>
            <w:tcBorders>
              <w:top w:val="single" w:sz="4" w:space="0" w:color="auto"/>
              <w:left w:val="nil"/>
              <w:bottom w:val="single" w:sz="4" w:space="0" w:color="auto"/>
              <w:right w:val="single" w:sz="8" w:space="0" w:color="auto"/>
            </w:tcBorders>
            <w:shd w:val="clear" w:color="auto" w:fill="auto"/>
            <w:vAlign w:val="bottom"/>
          </w:tcPr>
          <w:p w14:paraId="62CF98D4"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126DBE0"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8" w:type="dxa"/>
            <w:tcBorders>
              <w:top w:val="single" w:sz="4" w:space="0" w:color="auto"/>
              <w:left w:val="nil"/>
              <w:bottom w:val="single" w:sz="4" w:space="0" w:color="auto"/>
              <w:right w:val="single" w:sz="4" w:space="0" w:color="auto"/>
            </w:tcBorders>
            <w:shd w:val="clear" w:color="auto" w:fill="auto"/>
            <w:vAlign w:val="bottom"/>
          </w:tcPr>
          <w:p w14:paraId="5ACDF890"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single" w:sz="4" w:space="0" w:color="auto"/>
              <w:left w:val="nil"/>
              <w:bottom w:val="single" w:sz="4" w:space="0" w:color="auto"/>
              <w:right w:val="single" w:sz="8" w:space="0" w:color="auto"/>
            </w:tcBorders>
            <w:shd w:val="clear" w:color="auto" w:fill="auto"/>
            <w:vAlign w:val="bottom"/>
          </w:tcPr>
          <w:p w14:paraId="2AC5A480" w14:textId="77777777" w:rsidR="00A907C7" w:rsidRPr="00943BF2" w:rsidRDefault="00A907C7" w:rsidP="00B90C5F">
            <w:pPr>
              <w:spacing w:after="0"/>
              <w:jc w:val="right"/>
              <w:rPr>
                <w:sz w:val="18"/>
                <w:szCs w:val="18"/>
                <w:lang w:eastAsia="lt-LT"/>
              </w:rPr>
            </w:pPr>
            <w:r w:rsidRPr="00943BF2">
              <w:rPr>
                <w:sz w:val="18"/>
                <w:szCs w:val="18"/>
                <w:lang w:eastAsia="lt-LT"/>
              </w:rPr>
              <w:t> </w:t>
            </w:r>
          </w:p>
        </w:tc>
      </w:tr>
      <w:tr w:rsidR="00A907C7" w:rsidRPr="00943BF2" w14:paraId="1FD4C3D5" w14:textId="77777777" w:rsidTr="00B90C5F">
        <w:trPr>
          <w:trHeight w:val="240"/>
        </w:trPr>
        <w:tc>
          <w:tcPr>
            <w:tcW w:w="648" w:type="dxa"/>
            <w:tcBorders>
              <w:top w:val="nil"/>
              <w:left w:val="single" w:sz="8" w:space="0" w:color="auto"/>
              <w:bottom w:val="single" w:sz="4" w:space="0" w:color="auto"/>
              <w:right w:val="single" w:sz="4" w:space="0" w:color="auto"/>
            </w:tcBorders>
            <w:shd w:val="clear" w:color="auto" w:fill="auto"/>
          </w:tcPr>
          <w:p w14:paraId="0E743238" w14:textId="77777777" w:rsidR="00A907C7" w:rsidRPr="00943BF2" w:rsidRDefault="00A907C7" w:rsidP="00B90C5F">
            <w:pPr>
              <w:spacing w:after="0"/>
              <w:rPr>
                <w:sz w:val="18"/>
                <w:szCs w:val="18"/>
                <w:lang w:eastAsia="lt-LT"/>
              </w:rPr>
            </w:pPr>
            <w:r w:rsidRPr="00943BF2">
              <w:rPr>
                <w:sz w:val="18"/>
                <w:szCs w:val="18"/>
                <w:lang w:eastAsia="lt-LT"/>
              </w:rPr>
              <w:t> </w:t>
            </w:r>
          </w:p>
        </w:tc>
        <w:tc>
          <w:tcPr>
            <w:tcW w:w="1870" w:type="dxa"/>
            <w:tcBorders>
              <w:top w:val="nil"/>
              <w:left w:val="nil"/>
              <w:bottom w:val="single" w:sz="4" w:space="0" w:color="auto"/>
              <w:right w:val="single" w:sz="4" w:space="0" w:color="auto"/>
            </w:tcBorders>
            <w:shd w:val="clear" w:color="auto" w:fill="auto"/>
          </w:tcPr>
          <w:p w14:paraId="1AB734A2" w14:textId="77777777" w:rsidR="00A907C7" w:rsidRPr="00943BF2" w:rsidRDefault="00A907C7" w:rsidP="00B90C5F">
            <w:pPr>
              <w:spacing w:after="0"/>
              <w:rPr>
                <w:sz w:val="18"/>
                <w:szCs w:val="18"/>
                <w:lang w:eastAsia="lt-LT"/>
              </w:rPr>
            </w:pPr>
            <w:r w:rsidRPr="00943BF2">
              <w:rPr>
                <w:sz w:val="18"/>
                <w:szCs w:val="18"/>
                <w:lang w:eastAsia="lt-LT"/>
              </w:rPr>
              <w:t> </w:t>
            </w:r>
          </w:p>
        </w:tc>
        <w:tc>
          <w:tcPr>
            <w:tcW w:w="709" w:type="dxa"/>
            <w:tcBorders>
              <w:top w:val="nil"/>
              <w:left w:val="nil"/>
              <w:bottom w:val="single" w:sz="4" w:space="0" w:color="auto"/>
              <w:right w:val="single" w:sz="8" w:space="0" w:color="auto"/>
            </w:tcBorders>
            <w:shd w:val="clear" w:color="auto" w:fill="auto"/>
            <w:vAlign w:val="bottom"/>
          </w:tcPr>
          <w:p w14:paraId="016AFDBA" w14:textId="77777777" w:rsidR="00A907C7" w:rsidRPr="00943BF2" w:rsidRDefault="00A907C7" w:rsidP="00B90C5F">
            <w:pPr>
              <w:spacing w:after="0"/>
              <w:jc w:val="center"/>
              <w:rPr>
                <w:sz w:val="18"/>
                <w:szCs w:val="18"/>
                <w:lang w:eastAsia="lt-LT"/>
              </w:rPr>
            </w:pPr>
            <w:r w:rsidRPr="00943BF2">
              <w:rPr>
                <w:sz w:val="18"/>
                <w:szCs w:val="18"/>
                <w:lang w:eastAsia="lt-LT"/>
              </w:rPr>
              <w:t> </w:t>
            </w:r>
          </w:p>
        </w:tc>
        <w:tc>
          <w:tcPr>
            <w:tcW w:w="850" w:type="dxa"/>
            <w:tcBorders>
              <w:top w:val="nil"/>
              <w:left w:val="nil"/>
              <w:bottom w:val="single" w:sz="4" w:space="0" w:color="auto"/>
              <w:right w:val="single" w:sz="4" w:space="0" w:color="auto"/>
            </w:tcBorders>
            <w:shd w:val="clear" w:color="auto" w:fill="auto"/>
            <w:vAlign w:val="bottom"/>
          </w:tcPr>
          <w:p w14:paraId="00947801"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nil"/>
              <w:left w:val="nil"/>
              <w:bottom w:val="single" w:sz="4" w:space="0" w:color="auto"/>
              <w:right w:val="single" w:sz="4" w:space="0" w:color="auto"/>
            </w:tcBorders>
            <w:shd w:val="clear" w:color="auto" w:fill="auto"/>
            <w:vAlign w:val="bottom"/>
          </w:tcPr>
          <w:p w14:paraId="5ACC7104"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851" w:type="dxa"/>
            <w:tcBorders>
              <w:top w:val="nil"/>
              <w:left w:val="nil"/>
              <w:bottom w:val="single" w:sz="4" w:space="0" w:color="auto"/>
              <w:right w:val="single" w:sz="8" w:space="0" w:color="auto"/>
            </w:tcBorders>
            <w:shd w:val="clear" w:color="auto" w:fill="auto"/>
            <w:vAlign w:val="bottom"/>
          </w:tcPr>
          <w:p w14:paraId="701883B2"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7" w:type="dxa"/>
            <w:tcBorders>
              <w:top w:val="nil"/>
              <w:left w:val="nil"/>
              <w:bottom w:val="single" w:sz="4" w:space="0" w:color="auto"/>
              <w:right w:val="single" w:sz="4" w:space="0" w:color="auto"/>
            </w:tcBorders>
            <w:shd w:val="clear" w:color="auto" w:fill="auto"/>
            <w:vAlign w:val="bottom"/>
          </w:tcPr>
          <w:p w14:paraId="77814211"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8" w:type="dxa"/>
            <w:tcBorders>
              <w:top w:val="nil"/>
              <w:left w:val="nil"/>
              <w:bottom w:val="single" w:sz="4" w:space="0" w:color="auto"/>
              <w:right w:val="single" w:sz="4" w:space="0" w:color="auto"/>
            </w:tcBorders>
            <w:shd w:val="clear" w:color="auto" w:fill="auto"/>
            <w:vAlign w:val="bottom"/>
          </w:tcPr>
          <w:p w14:paraId="34D07080"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nil"/>
              <w:left w:val="nil"/>
              <w:bottom w:val="single" w:sz="4" w:space="0" w:color="auto"/>
              <w:right w:val="single" w:sz="8" w:space="0" w:color="auto"/>
            </w:tcBorders>
            <w:shd w:val="clear" w:color="auto" w:fill="auto"/>
            <w:vAlign w:val="bottom"/>
          </w:tcPr>
          <w:p w14:paraId="3B78AEC0" w14:textId="77777777" w:rsidR="00A907C7" w:rsidRPr="00943BF2" w:rsidRDefault="00A907C7" w:rsidP="00B90C5F">
            <w:pPr>
              <w:spacing w:after="0"/>
              <w:jc w:val="right"/>
              <w:rPr>
                <w:sz w:val="18"/>
                <w:szCs w:val="18"/>
                <w:lang w:eastAsia="lt-LT"/>
              </w:rPr>
            </w:pPr>
            <w:r w:rsidRPr="00943BF2">
              <w:rPr>
                <w:sz w:val="18"/>
                <w:szCs w:val="18"/>
                <w:lang w:eastAsia="lt-LT"/>
              </w:rPr>
              <w:t> </w:t>
            </w:r>
          </w:p>
        </w:tc>
      </w:tr>
      <w:tr w:rsidR="00A907C7" w:rsidRPr="00943BF2" w14:paraId="69CBD450" w14:textId="77777777" w:rsidTr="00B90C5F">
        <w:trPr>
          <w:trHeight w:val="240"/>
        </w:trPr>
        <w:tc>
          <w:tcPr>
            <w:tcW w:w="648" w:type="dxa"/>
            <w:tcBorders>
              <w:top w:val="nil"/>
              <w:left w:val="single" w:sz="8" w:space="0" w:color="auto"/>
              <w:bottom w:val="single" w:sz="4" w:space="0" w:color="auto"/>
              <w:right w:val="single" w:sz="4" w:space="0" w:color="auto"/>
            </w:tcBorders>
            <w:shd w:val="clear" w:color="auto" w:fill="auto"/>
          </w:tcPr>
          <w:p w14:paraId="4069922E" w14:textId="77777777" w:rsidR="00A907C7" w:rsidRPr="00943BF2" w:rsidRDefault="00A907C7" w:rsidP="00B90C5F">
            <w:pPr>
              <w:spacing w:after="0"/>
              <w:rPr>
                <w:sz w:val="18"/>
                <w:szCs w:val="18"/>
                <w:lang w:eastAsia="lt-LT"/>
              </w:rPr>
            </w:pPr>
            <w:r w:rsidRPr="00943BF2">
              <w:rPr>
                <w:sz w:val="18"/>
                <w:szCs w:val="18"/>
                <w:lang w:eastAsia="lt-LT"/>
              </w:rPr>
              <w:lastRenderedPageBreak/>
              <w:t> </w:t>
            </w:r>
          </w:p>
        </w:tc>
        <w:tc>
          <w:tcPr>
            <w:tcW w:w="1870" w:type="dxa"/>
            <w:tcBorders>
              <w:top w:val="nil"/>
              <w:left w:val="nil"/>
              <w:bottom w:val="single" w:sz="4" w:space="0" w:color="auto"/>
              <w:right w:val="single" w:sz="4" w:space="0" w:color="auto"/>
            </w:tcBorders>
            <w:shd w:val="clear" w:color="auto" w:fill="auto"/>
          </w:tcPr>
          <w:p w14:paraId="2D19B359" w14:textId="77777777" w:rsidR="00A907C7" w:rsidRPr="00943BF2" w:rsidRDefault="00A907C7" w:rsidP="00B90C5F">
            <w:pPr>
              <w:spacing w:after="0"/>
              <w:rPr>
                <w:sz w:val="18"/>
                <w:szCs w:val="18"/>
                <w:lang w:eastAsia="lt-LT"/>
              </w:rPr>
            </w:pPr>
            <w:r w:rsidRPr="00943BF2">
              <w:rPr>
                <w:sz w:val="18"/>
                <w:szCs w:val="18"/>
                <w:lang w:eastAsia="lt-LT"/>
              </w:rPr>
              <w:t> </w:t>
            </w:r>
          </w:p>
        </w:tc>
        <w:tc>
          <w:tcPr>
            <w:tcW w:w="709" w:type="dxa"/>
            <w:tcBorders>
              <w:top w:val="nil"/>
              <w:left w:val="nil"/>
              <w:bottom w:val="single" w:sz="4" w:space="0" w:color="auto"/>
              <w:right w:val="single" w:sz="8" w:space="0" w:color="auto"/>
            </w:tcBorders>
            <w:shd w:val="clear" w:color="auto" w:fill="auto"/>
            <w:vAlign w:val="bottom"/>
          </w:tcPr>
          <w:p w14:paraId="4E021F7E" w14:textId="77777777" w:rsidR="00A907C7" w:rsidRPr="00943BF2" w:rsidRDefault="00A907C7" w:rsidP="00B90C5F">
            <w:pPr>
              <w:spacing w:after="0"/>
              <w:jc w:val="center"/>
              <w:rPr>
                <w:sz w:val="18"/>
                <w:szCs w:val="18"/>
                <w:lang w:eastAsia="lt-LT"/>
              </w:rPr>
            </w:pPr>
            <w:r w:rsidRPr="00943BF2">
              <w:rPr>
                <w:sz w:val="18"/>
                <w:szCs w:val="18"/>
                <w:lang w:eastAsia="lt-LT"/>
              </w:rPr>
              <w:t> </w:t>
            </w:r>
          </w:p>
        </w:tc>
        <w:tc>
          <w:tcPr>
            <w:tcW w:w="850" w:type="dxa"/>
            <w:tcBorders>
              <w:top w:val="nil"/>
              <w:left w:val="nil"/>
              <w:bottom w:val="single" w:sz="4" w:space="0" w:color="auto"/>
              <w:right w:val="single" w:sz="4" w:space="0" w:color="auto"/>
            </w:tcBorders>
            <w:shd w:val="clear" w:color="auto" w:fill="auto"/>
            <w:vAlign w:val="bottom"/>
          </w:tcPr>
          <w:p w14:paraId="427F0D86"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nil"/>
              <w:left w:val="nil"/>
              <w:bottom w:val="single" w:sz="4" w:space="0" w:color="auto"/>
              <w:right w:val="single" w:sz="4" w:space="0" w:color="auto"/>
            </w:tcBorders>
            <w:shd w:val="clear" w:color="auto" w:fill="auto"/>
            <w:vAlign w:val="bottom"/>
          </w:tcPr>
          <w:p w14:paraId="1F36A4F9"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851" w:type="dxa"/>
            <w:tcBorders>
              <w:top w:val="nil"/>
              <w:left w:val="nil"/>
              <w:bottom w:val="single" w:sz="4" w:space="0" w:color="auto"/>
              <w:right w:val="single" w:sz="8" w:space="0" w:color="auto"/>
            </w:tcBorders>
            <w:shd w:val="clear" w:color="auto" w:fill="auto"/>
            <w:vAlign w:val="bottom"/>
          </w:tcPr>
          <w:p w14:paraId="0E63AF64"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7" w:type="dxa"/>
            <w:tcBorders>
              <w:top w:val="nil"/>
              <w:left w:val="nil"/>
              <w:bottom w:val="single" w:sz="4" w:space="0" w:color="auto"/>
              <w:right w:val="single" w:sz="4" w:space="0" w:color="auto"/>
            </w:tcBorders>
            <w:shd w:val="clear" w:color="auto" w:fill="auto"/>
            <w:vAlign w:val="bottom"/>
          </w:tcPr>
          <w:p w14:paraId="214C3505"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8" w:type="dxa"/>
            <w:tcBorders>
              <w:top w:val="nil"/>
              <w:left w:val="nil"/>
              <w:bottom w:val="single" w:sz="4" w:space="0" w:color="auto"/>
              <w:right w:val="single" w:sz="4" w:space="0" w:color="auto"/>
            </w:tcBorders>
            <w:shd w:val="clear" w:color="auto" w:fill="auto"/>
            <w:vAlign w:val="bottom"/>
          </w:tcPr>
          <w:p w14:paraId="039AC24F"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nil"/>
              <w:left w:val="nil"/>
              <w:bottom w:val="single" w:sz="4" w:space="0" w:color="auto"/>
              <w:right w:val="single" w:sz="8" w:space="0" w:color="auto"/>
            </w:tcBorders>
            <w:shd w:val="clear" w:color="auto" w:fill="auto"/>
            <w:vAlign w:val="bottom"/>
          </w:tcPr>
          <w:p w14:paraId="631CFABB" w14:textId="77777777" w:rsidR="00A907C7" w:rsidRPr="00943BF2" w:rsidRDefault="00A907C7" w:rsidP="00B90C5F">
            <w:pPr>
              <w:spacing w:after="0"/>
              <w:jc w:val="right"/>
              <w:rPr>
                <w:sz w:val="18"/>
                <w:szCs w:val="18"/>
                <w:lang w:eastAsia="lt-LT"/>
              </w:rPr>
            </w:pPr>
            <w:r w:rsidRPr="00943BF2">
              <w:rPr>
                <w:sz w:val="18"/>
                <w:szCs w:val="18"/>
                <w:lang w:eastAsia="lt-LT"/>
              </w:rPr>
              <w:t> </w:t>
            </w:r>
          </w:p>
        </w:tc>
      </w:tr>
      <w:tr w:rsidR="00A907C7" w:rsidRPr="00943BF2" w14:paraId="49F56EF4" w14:textId="77777777" w:rsidTr="00B90C5F">
        <w:trPr>
          <w:trHeight w:val="240"/>
        </w:trPr>
        <w:tc>
          <w:tcPr>
            <w:tcW w:w="648" w:type="dxa"/>
            <w:tcBorders>
              <w:top w:val="nil"/>
              <w:left w:val="single" w:sz="8" w:space="0" w:color="auto"/>
              <w:bottom w:val="single" w:sz="4" w:space="0" w:color="auto"/>
              <w:right w:val="single" w:sz="4" w:space="0" w:color="auto"/>
            </w:tcBorders>
            <w:shd w:val="clear" w:color="auto" w:fill="auto"/>
          </w:tcPr>
          <w:p w14:paraId="4B9CEEFB" w14:textId="77777777" w:rsidR="00A907C7" w:rsidRPr="00943BF2" w:rsidRDefault="00A907C7" w:rsidP="00B90C5F">
            <w:pPr>
              <w:spacing w:after="0"/>
              <w:rPr>
                <w:sz w:val="18"/>
                <w:szCs w:val="18"/>
                <w:lang w:eastAsia="lt-LT"/>
              </w:rPr>
            </w:pPr>
            <w:r w:rsidRPr="00943BF2">
              <w:rPr>
                <w:sz w:val="18"/>
                <w:szCs w:val="18"/>
                <w:lang w:eastAsia="lt-LT"/>
              </w:rPr>
              <w:t> </w:t>
            </w:r>
          </w:p>
        </w:tc>
        <w:tc>
          <w:tcPr>
            <w:tcW w:w="1870" w:type="dxa"/>
            <w:tcBorders>
              <w:top w:val="nil"/>
              <w:left w:val="nil"/>
              <w:bottom w:val="single" w:sz="4" w:space="0" w:color="auto"/>
              <w:right w:val="single" w:sz="4" w:space="0" w:color="auto"/>
            </w:tcBorders>
            <w:shd w:val="clear" w:color="auto" w:fill="auto"/>
          </w:tcPr>
          <w:p w14:paraId="5E88FEEE" w14:textId="77777777" w:rsidR="00A907C7" w:rsidRPr="00943BF2" w:rsidRDefault="00A907C7" w:rsidP="00B90C5F">
            <w:pPr>
              <w:spacing w:after="0"/>
              <w:rPr>
                <w:sz w:val="18"/>
                <w:szCs w:val="18"/>
                <w:lang w:eastAsia="lt-LT"/>
              </w:rPr>
            </w:pPr>
            <w:r w:rsidRPr="00943BF2">
              <w:rPr>
                <w:sz w:val="18"/>
                <w:szCs w:val="18"/>
                <w:lang w:eastAsia="lt-LT"/>
              </w:rPr>
              <w:t> </w:t>
            </w:r>
          </w:p>
        </w:tc>
        <w:tc>
          <w:tcPr>
            <w:tcW w:w="709" w:type="dxa"/>
            <w:tcBorders>
              <w:top w:val="nil"/>
              <w:left w:val="nil"/>
              <w:bottom w:val="single" w:sz="4" w:space="0" w:color="auto"/>
              <w:right w:val="single" w:sz="8" w:space="0" w:color="auto"/>
            </w:tcBorders>
            <w:shd w:val="clear" w:color="auto" w:fill="auto"/>
            <w:vAlign w:val="bottom"/>
          </w:tcPr>
          <w:p w14:paraId="48A8D1F1" w14:textId="77777777" w:rsidR="00A907C7" w:rsidRPr="00943BF2" w:rsidRDefault="00A907C7" w:rsidP="00B90C5F">
            <w:pPr>
              <w:spacing w:after="0"/>
              <w:jc w:val="center"/>
              <w:rPr>
                <w:sz w:val="18"/>
                <w:szCs w:val="18"/>
                <w:lang w:eastAsia="lt-LT"/>
              </w:rPr>
            </w:pPr>
            <w:r w:rsidRPr="00943BF2">
              <w:rPr>
                <w:sz w:val="18"/>
                <w:szCs w:val="18"/>
                <w:lang w:eastAsia="lt-LT"/>
              </w:rPr>
              <w:t> </w:t>
            </w:r>
          </w:p>
        </w:tc>
        <w:tc>
          <w:tcPr>
            <w:tcW w:w="850" w:type="dxa"/>
            <w:tcBorders>
              <w:top w:val="nil"/>
              <w:left w:val="nil"/>
              <w:bottom w:val="single" w:sz="4" w:space="0" w:color="auto"/>
              <w:right w:val="single" w:sz="4" w:space="0" w:color="auto"/>
            </w:tcBorders>
            <w:shd w:val="clear" w:color="auto" w:fill="auto"/>
            <w:vAlign w:val="bottom"/>
          </w:tcPr>
          <w:p w14:paraId="0F8AF075"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nil"/>
              <w:left w:val="nil"/>
              <w:bottom w:val="single" w:sz="4" w:space="0" w:color="auto"/>
              <w:right w:val="single" w:sz="4" w:space="0" w:color="auto"/>
            </w:tcBorders>
            <w:shd w:val="clear" w:color="auto" w:fill="auto"/>
            <w:vAlign w:val="bottom"/>
          </w:tcPr>
          <w:p w14:paraId="60376D2D"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851" w:type="dxa"/>
            <w:tcBorders>
              <w:top w:val="nil"/>
              <w:left w:val="nil"/>
              <w:bottom w:val="single" w:sz="4" w:space="0" w:color="auto"/>
              <w:right w:val="single" w:sz="8" w:space="0" w:color="auto"/>
            </w:tcBorders>
            <w:shd w:val="clear" w:color="auto" w:fill="auto"/>
            <w:vAlign w:val="bottom"/>
          </w:tcPr>
          <w:p w14:paraId="49644BC9"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7" w:type="dxa"/>
            <w:tcBorders>
              <w:top w:val="nil"/>
              <w:left w:val="nil"/>
              <w:bottom w:val="single" w:sz="4" w:space="0" w:color="auto"/>
              <w:right w:val="single" w:sz="4" w:space="0" w:color="auto"/>
            </w:tcBorders>
            <w:shd w:val="clear" w:color="auto" w:fill="auto"/>
            <w:vAlign w:val="bottom"/>
          </w:tcPr>
          <w:p w14:paraId="27BC4233"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8" w:type="dxa"/>
            <w:tcBorders>
              <w:top w:val="nil"/>
              <w:left w:val="nil"/>
              <w:bottom w:val="single" w:sz="4" w:space="0" w:color="auto"/>
              <w:right w:val="single" w:sz="4" w:space="0" w:color="auto"/>
            </w:tcBorders>
            <w:shd w:val="clear" w:color="auto" w:fill="auto"/>
            <w:vAlign w:val="bottom"/>
          </w:tcPr>
          <w:p w14:paraId="7C4472BE"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nil"/>
              <w:left w:val="nil"/>
              <w:bottom w:val="single" w:sz="4" w:space="0" w:color="auto"/>
              <w:right w:val="single" w:sz="8" w:space="0" w:color="auto"/>
            </w:tcBorders>
            <w:shd w:val="clear" w:color="auto" w:fill="auto"/>
            <w:vAlign w:val="bottom"/>
          </w:tcPr>
          <w:p w14:paraId="68F2E984" w14:textId="77777777" w:rsidR="00A907C7" w:rsidRPr="00943BF2" w:rsidRDefault="00A907C7" w:rsidP="00B90C5F">
            <w:pPr>
              <w:spacing w:after="0"/>
              <w:jc w:val="right"/>
              <w:rPr>
                <w:sz w:val="18"/>
                <w:szCs w:val="18"/>
                <w:lang w:eastAsia="lt-LT"/>
              </w:rPr>
            </w:pPr>
            <w:r w:rsidRPr="00943BF2">
              <w:rPr>
                <w:sz w:val="18"/>
                <w:szCs w:val="18"/>
                <w:lang w:eastAsia="lt-LT"/>
              </w:rPr>
              <w:t> </w:t>
            </w:r>
          </w:p>
        </w:tc>
      </w:tr>
      <w:tr w:rsidR="00A907C7" w:rsidRPr="00943BF2" w14:paraId="3D7A6064" w14:textId="77777777" w:rsidTr="00B90C5F">
        <w:trPr>
          <w:trHeight w:val="255"/>
        </w:trPr>
        <w:tc>
          <w:tcPr>
            <w:tcW w:w="648" w:type="dxa"/>
            <w:tcBorders>
              <w:top w:val="single" w:sz="4" w:space="0" w:color="auto"/>
              <w:left w:val="single" w:sz="8" w:space="0" w:color="auto"/>
              <w:bottom w:val="single" w:sz="4" w:space="0" w:color="auto"/>
              <w:right w:val="single" w:sz="4" w:space="0" w:color="auto"/>
            </w:tcBorders>
            <w:shd w:val="clear" w:color="auto" w:fill="auto"/>
          </w:tcPr>
          <w:p w14:paraId="67AE6619" w14:textId="77777777" w:rsidR="00A907C7" w:rsidRPr="00943BF2" w:rsidRDefault="00A907C7" w:rsidP="00B90C5F">
            <w:pPr>
              <w:spacing w:after="0"/>
              <w:rPr>
                <w:sz w:val="18"/>
                <w:szCs w:val="18"/>
                <w:lang w:eastAsia="lt-LT"/>
              </w:rPr>
            </w:pPr>
            <w:r w:rsidRPr="00943BF2">
              <w:rPr>
                <w:sz w:val="18"/>
                <w:szCs w:val="18"/>
                <w:lang w:eastAsia="lt-LT"/>
              </w:rPr>
              <w:t> </w:t>
            </w:r>
          </w:p>
        </w:tc>
        <w:tc>
          <w:tcPr>
            <w:tcW w:w="1870" w:type="dxa"/>
            <w:tcBorders>
              <w:top w:val="single" w:sz="4" w:space="0" w:color="auto"/>
              <w:left w:val="nil"/>
              <w:bottom w:val="single" w:sz="4" w:space="0" w:color="auto"/>
              <w:right w:val="single" w:sz="4" w:space="0" w:color="auto"/>
            </w:tcBorders>
            <w:shd w:val="clear" w:color="auto" w:fill="auto"/>
          </w:tcPr>
          <w:p w14:paraId="288FB6A8" w14:textId="77777777" w:rsidR="00A907C7" w:rsidRPr="00943BF2" w:rsidRDefault="00A907C7" w:rsidP="00B90C5F">
            <w:pPr>
              <w:spacing w:after="0"/>
              <w:rPr>
                <w:sz w:val="18"/>
                <w:szCs w:val="18"/>
                <w:lang w:eastAsia="lt-LT"/>
              </w:rPr>
            </w:pPr>
            <w:r w:rsidRPr="00943BF2">
              <w:rPr>
                <w:sz w:val="18"/>
                <w:szCs w:val="18"/>
                <w:lang w:eastAsia="lt-LT"/>
              </w:rPr>
              <w:t> </w:t>
            </w:r>
          </w:p>
        </w:tc>
        <w:tc>
          <w:tcPr>
            <w:tcW w:w="709" w:type="dxa"/>
            <w:tcBorders>
              <w:top w:val="single" w:sz="4" w:space="0" w:color="auto"/>
              <w:left w:val="nil"/>
              <w:bottom w:val="single" w:sz="4" w:space="0" w:color="auto"/>
              <w:right w:val="single" w:sz="8" w:space="0" w:color="auto"/>
            </w:tcBorders>
            <w:shd w:val="clear" w:color="auto" w:fill="auto"/>
            <w:vAlign w:val="bottom"/>
          </w:tcPr>
          <w:p w14:paraId="2C5F2240" w14:textId="77777777" w:rsidR="00A907C7" w:rsidRPr="00943BF2" w:rsidRDefault="00A907C7" w:rsidP="00B90C5F">
            <w:pPr>
              <w:spacing w:after="0"/>
              <w:jc w:val="center"/>
              <w:rPr>
                <w:sz w:val="18"/>
                <w:szCs w:val="18"/>
                <w:lang w:eastAsia="lt-LT"/>
              </w:rPr>
            </w:pPr>
            <w:r w:rsidRPr="00943BF2">
              <w:rPr>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58B1B535"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single" w:sz="4" w:space="0" w:color="auto"/>
              <w:left w:val="nil"/>
              <w:bottom w:val="single" w:sz="4" w:space="0" w:color="auto"/>
              <w:right w:val="single" w:sz="4" w:space="0" w:color="auto"/>
            </w:tcBorders>
            <w:shd w:val="clear" w:color="auto" w:fill="auto"/>
            <w:vAlign w:val="bottom"/>
          </w:tcPr>
          <w:p w14:paraId="3481A8CB"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851" w:type="dxa"/>
            <w:tcBorders>
              <w:top w:val="single" w:sz="4" w:space="0" w:color="auto"/>
              <w:left w:val="nil"/>
              <w:bottom w:val="single" w:sz="4" w:space="0" w:color="auto"/>
              <w:right w:val="single" w:sz="8" w:space="0" w:color="auto"/>
            </w:tcBorders>
            <w:shd w:val="clear" w:color="auto" w:fill="auto"/>
            <w:vAlign w:val="bottom"/>
          </w:tcPr>
          <w:p w14:paraId="6D3534DB"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2D39AFD8"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418" w:type="dxa"/>
            <w:tcBorders>
              <w:top w:val="single" w:sz="4" w:space="0" w:color="auto"/>
              <w:left w:val="nil"/>
              <w:bottom w:val="single" w:sz="4" w:space="0" w:color="auto"/>
              <w:right w:val="single" w:sz="4" w:space="0" w:color="auto"/>
            </w:tcBorders>
            <w:shd w:val="clear" w:color="auto" w:fill="auto"/>
            <w:vAlign w:val="bottom"/>
          </w:tcPr>
          <w:p w14:paraId="191BB5BB" w14:textId="77777777" w:rsidR="00A907C7" w:rsidRPr="00943BF2" w:rsidRDefault="00A907C7" w:rsidP="00B90C5F">
            <w:pPr>
              <w:spacing w:after="0"/>
              <w:jc w:val="right"/>
              <w:rPr>
                <w:sz w:val="18"/>
                <w:szCs w:val="18"/>
                <w:lang w:eastAsia="lt-LT"/>
              </w:rPr>
            </w:pPr>
            <w:r w:rsidRPr="00943BF2">
              <w:rPr>
                <w:sz w:val="18"/>
                <w:szCs w:val="18"/>
                <w:lang w:eastAsia="lt-LT"/>
              </w:rPr>
              <w:t> </w:t>
            </w:r>
          </w:p>
        </w:tc>
        <w:tc>
          <w:tcPr>
            <w:tcW w:w="1134" w:type="dxa"/>
            <w:tcBorders>
              <w:top w:val="single" w:sz="4" w:space="0" w:color="auto"/>
              <w:left w:val="nil"/>
              <w:bottom w:val="single" w:sz="4" w:space="0" w:color="auto"/>
              <w:right w:val="single" w:sz="8" w:space="0" w:color="auto"/>
            </w:tcBorders>
            <w:shd w:val="clear" w:color="auto" w:fill="auto"/>
            <w:vAlign w:val="bottom"/>
          </w:tcPr>
          <w:p w14:paraId="57178C9E" w14:textId="77777777" w:rsidR="00A907C7" w:rsidRPr="00943BF2" w:rsidRDefault="00A907C7" w:rsidP="00B90C5F">
            <w:pPr>
              <w:spacing w:after="0"/>
              <w:jc w:val="right"/>
              <w:rPr>
                <w:sz w:val="18"/>
                <w:szCs w:val="18"/>
                <w:lang w:eastAsia="lt-LT"/>
              </w:rPr>
            </w:pPr>
            <w:r w:rsidRPr="00943BF2">
              <w:rPr>
                <w:sz w:val="18"/>
                <w:szCs w:val="18"/>
                <w:lang w:eastAsia="lt-LT"/>
              </w:rPr>
              <w:t> </w:t>
            </w:r>
          </w:p>
        </w:tc>
      </w:tr>
      <w:tr w:rsidR="00A907C7" w:rsidRPr="00943BF2" w14:paraId="68C67954" w14:textId="77777777" w:rsidTr="00B90C5F">
        <w:trPr>
          <w:trHeight w:val="240"/>
        </w:trPr>
        <w:tc>
          <w:tcPr>
            <w:tcW w:w="648" w:type="dxa"/>
            <w:tcBorders>
              <w:top w:val="single" w:sz="4" w:space="0" w:color="auto"/>
              <w:bottom w:val="nil"/>
            </w:tcBorders>
            <w:shd w:val="clear" w:color="auto" w:fill="auto"/>
          </w:tcPr>
          <w:p w14:paraId="1AD0B1C0" w14:textId="77777777" w:rsidR="00A907C7" w:rsidRPr="00943BF2" w:rsidRDefault="00A907C7" w:rsidP="00B90C5F">
            <w:pPr>
              <w:spacing w:after="0"/>
              <w:rPr>
                <w:sz w:val="18"/>
                <w:szCs w:val="18"/>
                <w:lang w:eastAsia="lt-LT"/>
              </w:rPr>
            </w:pPr>
            <w:r w:rsidRPr="00943BF2">
              <w:rPr>
                <w:sz w:val="18"/>
                <w:szCs w:val="18"/>
                <w:lang w:eastAsia="lt-LT"/>
              </w:rPr>
              <w:t> </w:t>
            </w:r>
          </w:p>
        </w:tc>
        <w:tc>
          <w:tcPr>
            <w:tcW w:w="1870" w:type="dxa"/>
            <w:tcBorders>
              <w:top w:val="single" w:sz="4" w:space="0" w:color="auto"/>
              <w:bottom w:val="nil"/>
              <w:right w:val="single" w:sz="4" w:space="0" w:color="auto"/>
            </w:tcBorders>
            <w:shd w:val="clear" w:color="auto" w:fill="auto"/>
          </w:tcPr>
          <w:p w14:paraId="533FC8EC" w14:textId="77777777" w:rsidR="00A907C7" w:rsidRPr="00943BF2" w:rsidRDefault="00A907C7" w:rsidP="00B90C5F">
            <w:pPr>
              <w:spacing w:after="0"/>
              <w:rPr>
                <w:sz w:val="18"/>
                <w:szCs w:val="18"/>
                <w:lang w:eastAsia="lt-LT"/>
              </w:rPr>
            </w:pPr>
            <w:r w:rsidRPr="00943BF2">
              <w:rPr>
                <w:sz w:val="18"/>
                <w:szCs w:val="18"/>
                <w:lang w:eastAsia="lt-LT"/>
              </w:rPr>
              <w:t> </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10BEC16" w14:textId="77777777" w:rsidR="00A907C7" w:rsidRPr="00943BF2" w:rsidRDefault="00A907C7" w:rsidP="00B90C5F">
            <w:pPr>
              <w:spacing w:after="0"/>
              <w:jc w:val="right"/>
              <w:rPr>
                <w:b/>
                <w:bCs/>
                <w:sz w:val="18"/>
                <w:szCs w:val="18"/>
                <w:lang w:eastAsia="lt-LT"/>
              </w:rPr>
            </w:pPr>
            <w:r w:rsidRPr="00943BF2">
              <w:rPr>
                <w:b/>
                <w:bCs/>
                <w:sz w:val="18"/>
                <w:szCs w:val="18"/>
                <w:lang w:eastAsia="lt-LT"/>
              </w:rPr>
              <w:t>Suma be PVM (Eur):</w:t>
            </w:r>
            <w:r w:rsidRPr="00943BF2">
              <w:rPr>
                <w:sz w:val="18"/>
                <w:szCs w:val="18"/>
                <w:lang w:eastAsia="lt-LT"/>
              </w:rPr>
              <w:t> </w:t>
            </w:r>
          </w:p>
        </w:tc>
        <w:tc>
          <w:tcPr>
            <w:tcW w:w="1418" w:type="dxa"/>
            <w:tcBorders>
              <w:top w:val="nil"/>
              <w:left w:val="single" w:sz="4" w:space="0" w:color="auto"/>
              <w:bottom w:val="single" w:sz="4" w:space="0" w:color="auto"/>
              <w:right w:val="single" w:sz="4" w:space="0" w:color="auto"/>
            </w:tcBorders>
            <w:shd w:val="clear" w:color="auto" w:fill="auto"/>
            <w:vAlign w:val="bottom"/>
          </w:tcPr>
          <w:p w14:paraId="516CE67A" w14:textId="77777777" w:rsidR="00A907C7" w:rsidRPr="00943BF2" w:rsidRDefault="00A907C7" w:rsidP="00B90C5F">
            <w:pPr>
              <w:spacing w:after="0"/>
              <w:jc w:val="right"/>
              <w:rPr>
                <w:sz w:val="18"/>
                <w:szCs w:val="18"/>
                <w:lang w:eastAsia="lt-LT"/>
              </w:rPr>
            </w:pPr>
            <w:r w:rsidRPr="00943BF2">
              <w:rPr>
                <w:sz w:val="18"/>
                <w:szCs w:val="18"/>
                <w:lang w:eastAsia="lt-LT"/>
              </w:rPr>
              <w:t> </w:t>
            </w:r>
          </w:p>
          <w:p w14:paraId="59D2B208" w14:textId="77777777" w:rsidR="00A907C7" w:rsidRPr="00943BF2" w:rsidRDefault="00A907C7" w:rsidP="00B90C5F">
            <w:pPr>
              <w:spacing w:after="0"/>
              <w:jc w:val="right"/>
              <w:rPr>
                <w:b/>
                <w:bCs/>
                <w:sz w:val="18"/>
                <w:szCs w:val="18"/>
                <w:lang w:eastAsia="lt-LT"/>
              </w:rPr>
            </w:pPr>
          </w:p>
        </w:tc>
        <w:tc>
          <w:tcPr>
            <w:tcW w:w="1134" w:type="dxa"/>
            <w:tcBorders>
              <w:top w:val="single" w:sz="4" w:space="0" w:color="auto"/>
              <w:left w:val="nil"/>
              <w:bottom w:val="nil"/>
              <w:right w:val="single" w:sz="8" w:space="0" w:color="auto"/>
            </w:tcBorders>
            <w:shd w:val="clear" w:color="auto" w:fill="auto"/>
            <w:vAlign w:val="bottom"/>
          </w:tcPr>
          <w:p w14:paraId="0304C356" w14:textId="77777777" w:rsidR="00A907C7" w:rsidRPr="00943BF2" w:rsidRDefault="00A907C7" w:rsidP="00B90C5F">
            <w:pPr>
              <w:spacing w:after="0"/>
              <w:jc w:val="right"/>
              <w:rPr>
                <w:sz w:val="18"/>
                <w:szCs w:val="18"/>
                <w:lang w:eastAsia="lt-LT"/>
              </w:rPr>
            </w:pPr>
            <w:r w:rsidRPr="00943BF2">
              <w:rPr>
                <w:sz w:val="18"/>
                <w:szCs w:val="18"/>
                <w:lang w:eastAsia="lt-LT"/>
              </w:rPr>
              <w:t> </w:t>
            </w:r>
          </w:p>
        </w:tc>
      </w:tr>
      <w:tr w:rsidR="00A907C7" w:rsidRPr="00943BF2" w14:paraId="35794EC0" w14:textId="77777777" w:rsidTr="00B90C5F">
        <w:trPr>
          <w:trHeight w:val="240"/>
        </w:trPr>
        <w:tc>
          <w:tcPr>
            <w:tcW w:w="648" w:type="dxa"/>
            <w:tcBorders>
              <w:top w:val="nil"/>
              <w:bottom w:val="nil"/>
            </w:tcBorders>
            <w:shd w:val="clear" w:color="auto" w:fill="auto"/>
          </w:tcPr>
          <w:p w14:paraId="2129897A" w14:textId="77777777" w:rsidR="00A907C7" w:rsidRPr="00943BF2" w:rsidRDefault="00A907C7" w:rsidP="00B90C5F">
            <w:pPr>
              <w:spacing w:after="0"/>
              <w:rPr>
                <w:sz w:val="18"/>
                <w:szCs w:val="18"/>
                <w:lang w:eastAsia="lt-LT"/>
              </w:rPr>
            </w:pPr>
            <w:r w:rsidRPr="00943BF2">
              <w:rPr>
                <w:sz w:val="18"/>
                <w:szCs w:val="18"/>
                <w:lang w:eastAsia="lt-LT"/>
              </w:rPr>
              <w:t> </w:t>
            </w:r>
          </w:p>
        </w:tc>
        <w:tc>
          <w:tcPr>
            <w:tcW w:w="1870" w:type="dxa"/>
            <w:tcBorders>
              <w:top w:val="nil"/>
              <w:bottom w:val="nil"/>
              <w:right w:val="single" w:sz="4" w:space="0" w:color="auto"/>
            </w:tcBorders>
            <w:shd w:val="clear" w:color="auto" w:fill="auto"/>
          </w:tcPr>
          <w:p w14:paraId="518BBE66" w14:textId="77777777" w:rsidR="00A907C7" w:rsidRPr="00943BF2" w:rsidRDefault="00A907C7" w:rsidP="00B90C5F">
            <w:pPr>
              <w:spacing w:after="0"/>
              <w:rPr>
                <w:sz w:val="18"/>
                <w:szCs w:val="18"/>
                <w:lang w:eastAsia="lt-LT"/>
              </w:rPr>
            </w:pPr>
            <w:r w:rsidRPr="00943BF2">
              <w:rPr>
                <w:sz w:val="18"/>
                <w:szCs w:val="18"/>
                <w:lang w:eastAsia="lt-LT"/>
              </w:rPr>
              <w:t> </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91427EB" w14:textId="77777777" w:rsidR="00A907C7" w:rsidRPr="00943BF2" w:rsidRDefault="00A907C7" w:rsidP="00B90C5F">
            <w:pPr>
              <w:spacing w:after="0"/>
              <w:jc w:val="right"/>
              <w:rPr>
                <w:b/>
                <w:bCs/>
                <w:sz w:val="18"/>
                <w:szCs w:val="18"/>
                <w:lang w:eastAsia="lt-LT"/>
              </w:rPr>
            </w:pPr>
            <w:r w:rsidRPr="00943BF2">
              <w:rPr>
                <w:b/>
                <w:bCs/>
                <w:sz w:val="18"/>
                <w:szCs w:val="18"/>
                <w:lang w:eastAsia="lt-LT"/>
              </w:rPr>
              <w:t>PVM</w:t>
            </w:r>
            <w:r w:rsidRPr="005B1223">
              <w:rPr>
                <w:b/>
                <w:bCs/>
                <w:color w:val="000000" w:themeColor="text1"/>
                <w:sz w:val="18"/>
                <w:szCs w:val="18"/>
                <w:lang w:eastAsia="lt-LT"/>
              </w:rPr>
              <w:t xml:space="preserve"> </w:t>
            </w:r>
            <w:r w:rsidRPr="005B1223">
              <w:rPr>
                <w:b/>
                <w:i/>
                <w:color w:val="000000" w:themeColor="text1"/>
                <w:sz w:val="18"/>
                <w:szCs w:val="18"/>
              </w:rPr>
              <w:t>[21</w:t>
            </w:r>
            <w:r w:rsidRPr="005B1223">
              <w:rPr>
                <w:b/>
                <w:i/>
                <w:color w:val="000000" w:themeColor="text1"/>
                <w:sz w:val="18"/>
                <w:szCs w:val="18"/>
                <w:lang w:val="en-US"/>
              </w:rPr>
              <w:t>%</w:t>
            </w:r>
            <w:r w:rsidRPr="005B1223">
              <w:rPr>
                <w:b/>
                <w:i/>
                <w:color w:val="000000" w:themeColor="text1"/>
                <w:sz w:val="18"/>
                <w:szCs w:val="18"/>
              </w:rPr>
              <w:t>]</w:t>
            </w:r>
            <w:r w:rsidRPr="005B1223">
              <w:rPr>
                <w:b/>
                <w:bCs/>
                <w:color w:val="000000" w:themeColor="text1"/>
                <w:sz w:val="18"/>
                <w:szCs w:val="18"/>
                <w:lang w:eastAsia="lt-LT"/>
              </w:rPr>
              <w:t xml:space="preserve"> </w:t>
            </w:r>
            <w:r w:rsidRPr="00943BF2">
              <w:rPr>
                <w:b/>
                <w:bCs/>
                <w:sz w:val="18"/>
                <w:szCs w:val="18"/>
                <w:lang w:eastAsia="lt-LT"/>
              </w:rPr>
              <w:t>:</w:t>
            </w:r>
            <w:r w:rsidRPr="00943BF2">
              <w:rPr>
                <w:sz w:val="18"/>
                <w:szCs w:val="18"/>
                <w:lang w:eastAsia="lt-LT"/>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54C4C8C" w14:textId="77777777" w:rsidR="00A907C7" w:rsidRPr="00943BF2" w:rsidRDefault="00A907C7" w:rsidP="00B90C5F">
            <w:pPr>
              <w:spacing w:after="0"/>
              <w:jc w:val="right"/>
              <w:rPr>
                <w:sz w:val="18"/>
                <w:szCs w:val="18"/>
                <w:lang w:eastAsia="lt-LT"/>
              </w:rPr>
            </w:pPr>
            <w:r w:rsidRPr="00943BF2">
              <w:rPr>
                <w:sz w:val="18"/>
                <w:szCs w:val="18"/>
                <w:lang w:eastAsia="lt-LT"/>
              </w:rPr>
              <w:t> </w:t>
            </w:r>
          </w:p>
          <w:p w14:paraId="2B21592C" w14:textId="77777777" w:rsidR="00A907C7" w:rsidRPr="00943BF2" w:rsidRDefault="00A907C7" w:rsidP="00B90C5F">
            <w:pPr>
              <w:spacing w:after="0"/>
              <w:jc w:val="right"/>
              <w:rPr>
                <w:b/>
                <w:bCs/>
                <w:sz w:val="18"/>
                <w:szCs w:val="18"/>
                <w:lang w:eastAsia="lt-LT"/>
              </w:rPr>
            </w:pPr>
          </w:p>
        </w:tc>
        <w:tc>
          <w:tcPr>
            <w:tcW w:w="1134" w:type="dxa"/>
            <w:tcBorders>
              <w:left w:val="nil"/>
              <w:bottom w:val="nil"/>
              <w:right w:val="single" w:sz="8" w:space="0" w:color="auto"/>
            </w:tcBorders>
            <w:shd w:val="clear" w:color="auto" w:fill="auto"/>
            <w:vAlign w:val="bottom"/>
          </w:tcPr>
          <w:p w14:paraId="3966BD4F" w14:textId="77777777" w:rsidR="00A907C7" w:rsidRPr="00943BF2" w:rsidRDefault="00A907C7" w:rsidP="00B90C5F">
            <w:pPr>
              <w:spacing w:after="0"/>
              <w:jc w:val="right"/>
              <w:rPr>
                <w:sz w:val="18"/>
                <w:szCs w:val="18"/>
                <w:lang w:eastAsia="lt-LT"/>
              </w:rPr>
            </w:pPr>
            <w:r w:rsidRPr="00943BF2">
              <w:rPr>
                <w:sz w:val="18"/>
                <w:szCs w:val="18"/>
                <w:lang w:eastAsia="lt-LT"/>
              </w:rPr>
              <w:t> </w:t>
            </w:r>
          </w:p>
        </w:tc>
      </w:tr>
      <w:tr w:rsidR="00A907C7" w:rsidRPr="00943BF2" w14:paraId="55B4D6CC" w14:textId="77777777" w:rsidTr="00B90C5F">
        <w:trPr>
          <w:trHeight w:val="255"/>
        </w:trPr>
        <w:tc>
          <w:tcPr>
            <w:tcW w:w="648" w:type="dxa"/>
            <w:tcBorders>
              <w:top w:val="nil"/>
            </w:tcBorders>
            <w:shd w:val="clear" w:color="auto" w:fill="auto"/>
          </w:tcPr>
          <w:p w14:paraId="09CEE76E" w14:textId="77777777" w:rsidR="00A907C7" w:rsidRPr="00943BF2" w:rsidRDefault="00A907C7" w:rsidP="00B90C5F">
            <w:pPr>
              <w:spacing w:after="0"/>
              <w:rPr>
                <w:b/>
                <w:bCs/>
                <w:sz w:val="18"/>
                <w:szCs w:val="18"/>
                <w:lang w:eastAsia="lt-LT"/>
              </w:rPr>
            </w:pPr>
            <w:r w:rsidRPr="00943BF2">
              <w:rPr>
                <w:b/>
                <w:bCs/>
                <w:sz w:val="18"/>
                <w:szCs w:val="18"/>
                <w:lang w:eastAsia="lt-LT"/>
              </w:rPr>
              <w:t> </w:t>
            </w:r>
          </w:p>
        </w:tc>
        <w:tc>
          <w:tcPr>
            <w:tcW w:w="1870" w:type="dxa"/>
            <w:tcBorders>
              <w:top w:val="nil"/>
              <w:right w:val="single" w:sz="4" w:space="0" w:color="auto"/>
            </w:tcBorders>
            <w:shd w:val="clear" w:color="auto" w:fill="auto"/>
          </w:tcPr>
          <w:p w14:paraId="61912BF8" w14:textId="77777777" w:rsidR="00A907C7" w:rsidRPr="00943BF2" w:rsidRDefault="00A907C7" w:rsidP="00B90C5F">
            <w:pPr>
              <w:spacing w:after="0"/>
              <w:jc w:val="right"/>
              <w:rPr>
                <w:b/>
                <w:bCs/>
                <w:sz w:val="18"/>
                <w:szCs w:val="18"/>
                <w:lang w:eastAsia="lt-LT"/>
              </w:rPr>
            </w:pPr>
            <w:r w:rsidRPr="00943BF2">
              <w:rPr>
                <w:b/>
                <w:bCs/>
                <w:sz w:val="18"/>
                <w:szCs w:val="18"/>
                <w:lang w:eastAsia="lt-LT"/>
              </w:rPr>
              <w:t> </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950AE1A" w14:textId="77777777" w:rsidR="00A907C7" w:rsidRPr="00943BF2" w:rsidRDefault="00A907C7" w:rsidP="00B90C5F">
            <w:pPr>
              <w:spacing w:after="0"/>
              <w:jc w:val="right"/>
              <w:rPr>
                <w:b/>
                <w:bCs/>
                <w:sz w:val="18"/>
                <w:szCs w:val="18"/>
                <w:lang w:eastAsia="lt-LT"/>
              </w:rPr>
            </w:pPr>
            <w:r w:rsidRPr="00943BF2">
              <w:rPr>
                <w:b/>
                <w:bCs/>
                <w:sz w:val="18"/>
                <w:szCs w:val="18"/>
                <w:lang w:eastAsia="lt-LT"/>
              </w:rPr>
              <w:t> Bendra suma su PVM (Eur): </w:t>
            </w:r>
          </w:p>
        </w:tc>
        <w:tc>
          <w:tcPr>
            <w:tcW w:w="1418" w:type="dxa"/>
            <w:tcBorders>
              <w:top w:val="single" w:sz="4" w:space="0" w:color="auto"/>
              <w:left w:val="single" w:sz="4" w:space="0" w:color="auto"/>
              <w:bottom w:val="single" w:sz="8" w:space="0" w:color="auto"/>
              <w:right w:val="single" w:sz="4" w:space="0" w:color="auto"/>
            </w:tcBorders>
            <w:shd w:val="clear" w:color="auto" w:fill="auto"/>
          </w:tcPr>
          <w:p w14:paraId="4733C93A" w14:textId="77777777" w:rsidR="00A907C7" w:rsidRPr="00943BF2" w:rsidRDefault="00A907C7" w:rsidP="00B90C5F">
            <w:pPr>
              <w:spacing w:after="0"/>
              <w:jc w:val="right"/>
              <w:rPr>
                <w:b/>
                <w:bCs/>
                <w:sz w:val="18"/>
                <w:szCs w:val="18"/>
                <w:lang w:eastAsia="lt-LT"/>
              </w:rPr>
            </w:pPr>
            <w:r w:rsidRPr="00943BF2">
              <w:rPr>
                <w:b/>
                <w:bCs/>
                <w:sz w:val="18"/>
                <w:szCs w:val="18"/>
                <w:lang w:eastAsia="lt-LT"/>
              </w:rPr>
              <w:t> </w:t>
            </w:r>
          </w:p>
          <w:p w14:paraId="28BB8F3D" w14:textId="77777777" w:rsidR="00A907C7" w:rsidRPr="00943BF2" w:rsidRDefault="00A907C7" w:rsidP="00B90C5F">
            <w:pPr>
              <w:spacing w:after="0"/>
              <w:jc w:val="right"/>
              <w:rPr>
                <w:b/>
                <w:bCs/>
                <w:sz w:val="18"/>
                <w:szCs w:val="18"/>
                <w:lang w:eastAsia="lt-LT"/>
              </w:rPr>
            </w:pPr>
          </w:p>
        </w:tc>
        <w:tc>
          <w:tcPr>
            <w:tcW w:w="1134" w:type="dxa"/>
            <w:tcBorders>
              <w:left w:val="nil"/>
              <w:bottom w:val="single" w:sz="8" w:space="0" w:color="auto"/>
              <w:right w:val="single" w:sz="8" w:space="0" w:color="auto"/>
            </w:tcBorders>
            <w:shd w:val="clear" w:color="auto" w:fill="auto"/>
            <w:vAlign w:val="bottom"/>
          </w:tcPr>
          <w:p w14:paraId="3E72D07B" w14:textId="77777777" w:rsidR="00A907C7" w:rsidRPr="00943BF2" w:rsidRDefault="00A907C7" w:rsidP="00B90C5F">
            <w:pPr>
              <w:spacing w:after="0"/>
              <w:jc w:val="right"/>
              <w:rPr>
                <w:b/>
                <w:bCs/>
                <w:sz w:val="18"/>
                <w:szCs w:val="18"/>
                <w:lang w:eastAsia="lt-LT"/>
              </w:rPr>
            </w:pPr>
            <w:r w:rsidRPr="00943BF2">
              <w:rPr>
                <w:b/>
                <w:bCs/>
                <w:sz w:val="18"/>
                <w:szCs w:val="18"/>
                <w:lang w:eastAsia="lt-LT"/>
              </w:rPr>
              <w:t> </w:t>
            </w:r>
          </w:p>
        </w:tc>
      </w:tr>
    </w:tbl>
    <w:p w14:paraId="15A14154" w14:textId="77777777" w:rsidR="00A907C7" w:rsidRPr="00943BF2" w:rsidRDefault="00A907C7" w:rsidP="00A907C7">
      <w:pPr>
        <w:pStyle w:val="Stilius3"/>
        <w:rPr>
          <w:sz w:val="18"/>
          <w:szCs w:val="18"/>
          <w:lang w:eastAsia="lt-LT"/>
        </w:rPr>
      </w:pPr>
      <w:r w:rsidRPr="00943BF2">
        <w:rPr>
          <w:sz w:val="18"/>
          <w:szCs w:val="18"/>
          <w:lang w:eastAsia="lt-LT"/>
        </w:rPr>
        <w:t xml:space="preserve">** - faktinis darbo baigtumo lygis pagal faktinį darbo kiekį. </w:t>
      </w:r>
    </w:p>
    <w:p w14:paraId="4485BA53" w14:textId="77777777" w:rsidR="00A907C7" w:rsidRDefault="00A907C7" w:rsidP="001A6C0C">
      <w:pPr>
        <w:pStyle w:val="Stilius3"/>
        <w:rPr>
          <w:sz w:val="18"/>
          <w:szCs w:val="18"/>
          <w:lang w:eastAsia="lt-LT"/>
        </w:rPr>
      </w:pPr>
    </w:p>
    <w:p w14:paraId="586AC4E1" w14:textId="39D53CAE" w:rsidR="001A6C0C" w:rsidRPr="00943BF2" w:rsidRDefault="001A6C0C" w:rsidP="001A6C0C">
      <w:pPr>
        <w:pStyle w:val="Stilius3"/>
        <w:rPr>
          <w:sz w:val="18"/>
          <w:szCs w:val="18"/>
          <w:lang w:eastAsia="lt-LT"/>
        </w:rPr>
      </w:pPr>
      <w:r w:rsidRPr="00943BF2">
        <w:rPr>
          <w:sz w:val="18"/>
          <w:szCs w:val="18"/>
          <w:lang w:eastAsia="lt-LT"/>
        </w:rPr>
        <w:t xml:space="preserve">Užsakovas  </w:t>
      </w:r>
      <w:r w:rsidRPr="00943BF2">
        <w:rPr>
          <w:sz w:val="18"/>
          <w:szCs w:val="18"/>
          <w:lang w:eastAsia="lt-LT"/>
        </w:rPr>
        <w:tab/>
      </w:r>
      <w:r w:rsidRPr="00943BF2">
        <w:rPr>
          <w:sz w:val="18"/>
          <w:szCs w:val="18"/>
          <w:lang w:eastAsia="lt-LT"/>
        </w:rPr>
        <w:tab/>
      </w:r>
      <w:r w:rsidRPr="00943BF2">
        <w:rPr>
          <w:sz w:val="18"/>
          <w:szCs w:val="18"/>
          <w:lang w:eastAsia="lt-LT"/>
        </w:rPr>
        <w:tab/>
      </w:r>
      <w:r w:rsidRPr="00943BF2">
        <w:rPr>
          <w:sz w:val="18"/>
          <w:szCs w:val="18"/>
          <w:lang w:eastAsia="lt-LT"/>
        </w:rPr>
        <w:tab/>
        <w:t xml:space="preserve">  Rangovas</w:t>
      </w:r>
    </w:p>
    <w:p w14:paraId="130FE115" w14:textId="77777777" w:rsidR="001A6C0C" w:rsidRPr="00943BF2" w:rsidRDefault="001A6C0C" w:rsidP="001A6C0C">
      <w:pPr>
        <w:pStyle w:val="Stilius3"/>
      </w:pPr>
    </w:p>
    <w:p w14:paraId="633A97FA" w14:textId="77777777" w:rsidR="001A6C0C" w:rsidRDefault="001A6C0C" w:rsidP="001A6C0C">
      <w:r w:rsidRPr="00943BF2">
        <w:rPr>
          <w:rFonts w:eastAsia="Times New Roman"/>
          <w:sz w:val="18"/>
          <w:szCs w:val="18"/>
          <w:lang w:eastAsia="lt-LT"/>
        </w:rPr>
        <w:t xml:space="preserve">20__m. __________________ mėn. ____d. </w:t>
      </w:r>
      <w:r w:rsidRPr="00943BF2">
        <w:rPr>
          <w:rFonts w:eastAsia="Times New Roman"/>
          <w:sz w:val="18"/>
          <w:szCs w:val="18"/>
          <w:lang w:eastAsia="lt-LT"/>
        </w:rPr>
        <w:tab/>
      </w:r>
      <w:r w:rsidRPr="00943BF2">
        <w:rPr>
          <w:rFonts w:eastAsia="Times New Roman"/>
          <w:sz w:val="18"/>
          <w:szCs w:val="18"/>
          <w:lang w:eastAsia="lt-LT"/>
        </w:rPr>
        <w:tab/>
        <w:t>20__m. ______________ mėn. ____d.</w:t>
      </w:r>
    </w:p>
    <w:sectPr w:rsidR="001A6C0C" w:rsidSect="00921E30">
      <w:pgSz w:w="11906" w:h="16838"/>
      <w:pgMar w:top="1701"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B47EB554"/>
    <w:name w:val="WW8Num3"/>
    <w:lvl w:ilvl="0">
      <w:start w:val="1"/>
      <w:numFmt w:val="decimal"/>
      <w:lvlText w:val="%1."/>
      <w:lvlJc w:val="left"/>
      <w:pPr>
        <w:tabs>
          <w:tab w:val="num" w:pos="0"/>
        </w:tabs>
        <w:ind w:left="1353" w:hanging="360"/>
      </w:pPr>
    </w:lvl>
    <w:lvl w:ilvl="1">
      <w:start w:val="1"/>
      <w:numFmt w:val="decimal"/>
      <w:isLgl/>
      <w:lvlText w:val="%1.%2."/>
      <w:lvlJc w:val="left"/>
      <w:pPr>
        <w:ind w:left="1518" w:hanging="52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276E4E4F"/>
    <w:multiLevelType w:val="multilevel"/>
    <w:tmpl w:val="08F4ECE2"/>
    <w:lvl w:ilvl="0">
      <w:start w:val="12"/>
      <w:numFmt w:val="upperRoman"/>
      <w:lvlText w:val="%1."/>
      <w:lvlJc w:val="left"/>
      <w:pPr>
        <w:ind w:left="1080" w:hanging="720"/>
      </w:pPr>
      <w:rPr>
        <w:rFonts w:hint="default"/>
      </w:rPr>
    </w:lvl>
    <w:lvl w:ilvl="1">
      <w:start w:val="1"/>
      <w:numFmt w:val="decimal"/>
      <w:isLgl/>
      <w:lvlText w:val="%1.%2."/>
      <w:lvlJc w:val="left"/>
      <w:pPr>
        <w:ind w:left="906" w:hanging="48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6DAB0045"/>
    <w:multiLevelType w:val="hybridMultilevel"/>
    <w:tmpl w:val="A54A92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1244D90"/>
    <w:multiLevelType w:val="multilevel"/>
    <w:tmpl w:val="F56E3E02"/>
    <w:lvl w:ilvl="0">
      <w:start w:val="5"/>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FC"/>
    <w:rsid w:val="000069B7"/>
    <w:rsid w:val="00025A44"/>
    <w:rsid w:val="00033467"/>
    <w:rsid w:val="00034F36"/>
    <w:rsid w:val="00044EE4"/>
    <w:rsid w:val="000578DD"/>
    <w:rsid w:val="00080421"/>
    <w:rsid w:val="000811EC"/>
    <w:rsid w:val="00090BF2"/>
    <w:rsid w:val="000A05C4"/>
    <w:rsid w:val="000B6D1B"/>
    <w:rsid w:val="000B7ABD"/>
    <w:rsid w:val="000C7C18"/>
    <w:rsid w:val="000F3A70"/>
    <w:rsid w:val="00123B52"/>
    <w:rsid w:val="00167CEA"/>
    <w:rsid w:val="00175EB4"/>
    <w:rsid w:val="0017685F"/>
    <w:rsid w:val="00180AD1"/>
    <w:rsid w:val="00185EB5"/>
    <w:rsid w:val="00190ABD"/>
    <w:rsid w:val="00195E9E"/>
    <w:rsid w:val="001A6C0C"/>
    <w:rsid w:val="001B0B2B"/>
    <w:rsid w:val="001C6284"/>
    <w:rsid w:val="001F357C"/>
    <w:rsid w:val="002175A9"/>
    <w:rsid w:val="00225CFB"/>
    <w:rsid w:val="002311CA"/>
    <w:rsid w:val="00236CF1"/>
    <w:rsid w:val="00286A1B"/>
    <w:rsid w:val="002D1B57"/>
    <w:rsid w:val="002E529B"/>
    <w:rsid w:val="002E7332"/>
    <w:rsid w:val="0030384E"/>
    <w:rsid w:val="00316568"/>
    <w:rsid w:val="0033302B"/>
    <w:rsid w:val="00351F46"/>
    <w:rsid w:val="00370A70"/>
    <w:rsid w:val="0039567E"/>
    <w:rsid w:val="00396F06"/>
    <w:rsid w:val="003F11FD"/>
    <w:rsid w:val="004D23D1"/>
    <w:rsid w:val="00531D70"/>
    <w:rsid w:val="00546D81"/>
    <w:rsid w:val="00593A55"/>
    <w:rsid w:val="005A20A4"/>
    <w:rsid w:val="005B1223"/>
    <w:rsid w:val="005B70B4"/>
    <w:rsid w:val="005B7D8C"/>
    <w:rsid w:val="005E403A"/>
    <w:rsid w:val="00603A30"/>
    <w:rsid w:val="00612066"/>
    <w:rsid w:val="006629D3"/>
    <w:rsid w:val="00697D89"/>
    <w:rsid w:val="006A4A20"/>
    <w:rsid w:val="006B08D3"/>
    <w:rsid w:val="006C173B"/>
    <w:rsid w:val="006D0DA2"/>
    <w:rsid w:val="006D618D"/>
    <w:rsid w:val="006E21F0"/>
    <w:rsid w:val="00707317"/>
    <w:rsid w:val="00715EDC"/>
    <w:rsid w:val="00715F36"/>
    <w:rsid w:val="00720B01"/>
    <w:rsid w:val="00736AFF"/>
    <w:rsid w:val="00785545"/>
    <w:rsid w:val="007A5FAE"/>
    <w:rsid w:val="007B683F"/>
    <w:rsid w:val="007E0D44"/>
    <w:rsid w:val="007F1DEA"/>
    <w:rsid w:val="007F7221"/>
    <w:rsid w:val="00801D98"/>
    <w:rsid w:val="00803B19"/>
    <w:rsid w:val="00826F6D"/>
    <w:rsid w:val="00830A49"/>
    <w:rsid w:val="008513A6"/>
    <w:rsid w:val="00865879"/>
    <w:rsid w:val="008850C6"/>
    <w:rsid w:val="008C084F"/>
    <w:rsid w:val="008D3F2C"/>
    <w:rsid w:val="0090373D"/>
    <w:rsid w:val="00914981"/>
    <w:rsid w:val="00921E30"/>
    <w:rsid w:val="009555AD"/>
    <w:rsid w:val="009567DA"/>
    <w:rsid w:val="00971539"/>
    <w:rsid w:val="0098004B"/>
    <w:rsid w:val="009B203C"/>
    <w:rsid w:val="009C56AC"/>
    <w:rsid w:val="00A27D0C"/>
    <w:rsid w:val="00A44982"/>
    <w:rsid w:val="00A46A12"/>
    <w:rsid w:val="00A84D14"/>
    <w:rsid w:val="00A907C7"/>
    <w:rsid w:val="00AA3CB6"/>
    <w:rsid w:val="00AE0066"/>
    <w:rsid w:val="00AE3CB9"/>
    <w:rsid w:val="00B05431"/>
    <w:rsid w:val="00B057E4"/>
    <w:rsid w:val="00B14228"/>
    <w:rsid w:val="00B3100A"/>
    <w:rsid w:val="00B4038C"/>
    <w:rsid w:val="00B42E4A"/>
    <w:rsid w:val="00B70816"/>
    <w:rsid w:val="00B76503"/>
    <w:rsid w:val="00B848BD"/>
    <w:rsid w:val="00B90C5F"/>
    <w:rsid w:val="00BA55A0"/>
    <w:rsid w:val="00BD1D8D"/>
    <w:rsid w:val="00BE3536"/>
    <w:rsid w:val="00BE6AB0"/>
    <w:rsid w:val="00BF279F"/>
    <w:rsid w:val="00BF6E86"/>
    <w:rsid w:val="00C20DAA"/>
    <w:rsid w:val="00C31F23"/>
    <w:rsid w:val="00C57661"/>
    <w:rsid w:val="00C578DB"/>
    <w:rsid w:val="00C6154E"/>
    <w:rsid w:val="00C770E1"/>
    <w:rsid w:val="00C84808"/>
    <w:rsid w:val="00CA02A0"/>
    <w:rsid w:val="00CA6ACA"/>
    <w:rsid w:val="00CB4791"/>
    <w:rsid w:val="00CB48D8"/>
    <w:rsid w:val="00CB6F97"/>
    <w:rsid w:val="00CE4940"/>
    <w:rsid w:val="00CE66C4"/>
    <w:rsid w:val="00CF0079"/>
    <w:rsid w:val="00D355BB"/>
    <w:rsid w:val="00D36EAF"/>
    <w:rsid w:val="00D427AA"/>
    <w:rsid w:val="00D64B86"/>
    <w:rsid w:val="00D86CCC"/>
    <w:rsid w:val="00DA5989"/>
    <w:rsid w:val="00DE10FF"/>
    <w:rsid w:val="00DF33B9"/>
    <w:rsid w:val="00E1300B"/>
    <w:rsid w:val="00E30287"/>
    <w:rsid w:val="00E34668"/>
    <w:rsid w:val="00E346FC"/>
    <w:rsid w:val="00E5474E"/>
    <w:rsid w:val="00E67C72"/>
    <w:rsid w:val="00E725A3"/>
    <w:rsid w:val="00E91950"/>
    <w:rsid w:val="00EA49E2"/>
    <w:rsid w:val="00EA4ADD"/>
    <w:rsid w:val="00EA4C76"/>
    <w:rsid w:val="00F55290"/>
    <w:rsid w:val="00F672F3"/>
    <w:rsid w:val="00F902E6"/>
    <w:rsid w:val="00F9351D"/>
    <w:rsid w:val="00FA6F06"/>
    <w:rsid w:val="00FB77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AE57"/>
  <w15:docId w15:val="{F8B5434F-446B-49C8-A7AD-2210C721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46FC"/>
    <w:pPr>
      <w:suppressAutoHyphens/>
      <w:spacing w:after="200" w:line="276" w:lineRule="auto"/>
    </w:pPr>
    <w:rPr>
      <w:rFonts w:ascii="Times New Roman" w:eastAsia="Calibri" w:hAnsi="Times New Roman" w:cs="Calibri"/>
      <w:kern w:val="1"/>
      <w:sz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E346FC"/>
    <w:rPr>
      <w:color w:val="0000FF"/>
      <w:u w:val="single"/>
    </w:rPr>
  </w:style>
  <w:style w:type="paragraph" w:customStyle="1" w:styleId="BodyText21">
    <w:name w:val="Body Text 21"/>
    <w:basedOn w:val="prastasis"/>
    <w:rsid w:val="00E346FC"/>
    <w:pPr>
      <w:tabs>
        <w:tab w:val="right" w:leader="underscore" w:pos="8505"/>
      </w:tabs>
      <w:spacing w:after="0" w:line="240" w:lineRule="auto"/>
      <w:jc w:val="center"/>
    </w:pPr>
    <w:rPr>
      <w:b/>
      <w:bCs/>
      <w:caps/>
    </w:rPr>
  </w:style>
  <w:style w:type="paragraph" w:customStyle="1" w:styleId="Stilius3">
    <w:name w:val="Stilius3"/>
    <w:basedOn w:val="prastasis"/>
    <w:link w:val="Stilius3Diagrama"/>
    <w:qFormat/>
    <w:rsid w:val="00E346FC"/>
    <w:pPr>
      <w:suppressAutoHyphens w:val="0"/>
      <w:spacing w:before="200" w:after="0" w:line="240" w:lineRule="auto"/>
      <w:jc w:val="both"/>
    </w:pPr>
    <w:rPr>
      <w:rFonts w:eastAsia="Times New Roman"/>
      <w:sz w:val="22"/>
    </w:rPr>
  </w:style>
  <w:style w:type="paragraph" w:styleId="Sraopastraipa">
    <w:name w:val="List Paragraph"/>
    <w:aliases w:val="Buletai,Bullet EY,List Paragraph21,List Paragraph2,lp1,Use Case List Paragraph,Numbering,ERP-List Paragraph,List Paragraph11,List Paragraph111,Paragraph,List Paragraph Red,List not in Table,Bullet 1,List Paragraph 1,Lentele,Lente"/>
    <w:basedOn w:val="prastasis"/>
    <w:link w:val="SraopastraipaDiagrama"/>
    <w:uiPriority w:val="34"/>
    <w:qFormat/>
    <w:rsid w:val="00E346FC"/>
    <w:pPr>
      <w:suppressAutoHyphens w:val="0"/>
      <w:spacing w:after="0" w:line="240" w:lineRule="auto"/>
      <w:ind w:left="720"/>
      <w:contextualSpacing/>
    </w:pPr>
    <w:rPr>
      <w:rFonts w:eastAsia="Times New Roman" w:cs="Times New Roman"/>
      <w:kern w:val="0"/>
      <w:sz w:val="20"/>
      <w:szCs w:val="20"/>
      <w:lang w:val="en-US" w:eastAsia="en-US"/>
    </w:rPr>
  </w:style>
  <w:style w:type="character" w:customStyle="1" w:styleId="SraopastraipaDiagrama">
    <w:name w:val="Sąrašo pastraipa Diagrama"/>
    <w:aliases w:val="Buletai Diagrama,Bullet EY Diagrama,List Paragraph21 Diagrama,List Paragraph2 Diagrama,lp1 Diagrama,Use Case List Paragraph Diagrama,Numbering Diagrama,ERP-List Paragraph Diagrama,List Paragraph11 Diagrama,Paragraph Diagrama"/>
    <w:link w:val="Sraopastraipa"/>
    <w:uiPriority w:val="34"/>
    <w:qFormat/>
    <w:locked/>
    <w:rsid w:val="00E346FC"/>
    <w:rPr>
      <w:rFonts w:ascii="Times New Roman" w:eastAsia="Times New Roman" w:hAnsi="Times New Roman" w:cs="Times New Roman"/>
      <w:sz w:val="20"/>
      <w:szCs w:val="20"/>
      <w:lang w:val="en-US"/>
    </w:rPr>
  </w:style>
  <w:style w:type="paragraph" w:customStyle="1" w:styleId="List">
    <w:name w:val="List §"/>
    <w:basedOn w:val="prastasis"/>
    <w:rsid w:val="00865879"/>
    <w:pPr>
      <w:widowControl w:val="0"/>
      <w:spacing w:after="280" w:line="280" w:lineRule="atLeast"/>
    </w:pPr>
    <w:rPr>
      <w:rFonts w:eastAsia="Lucida Sans Unicode" w:cs="Arial"/>
      <w:szCs w:val="24"/>
      <w:lang w:eastAsia="hi-IN" w:bidi="hi-IN"/>
    </w:rPr>
  </w:style>
  <w:style w:type="character" w:customStyle="1" w:styleId="Stilius3Diagrama">
    <w:name w:val="Stilius3 Diagrama"/>
    <w:link w:val="Stilius3"/>
    <w:rsid w:val="001A6C0C"/>
    <w:rPr>
      <w:rFonts w:ascii="Times New Roman" w:eastAsia="Times New Roman" w:hAnsi="Times New Roman" w:cs="Calibri"/>
      <w:kern w:val="1"/>
      <w:lang w:eastAsia="ar-SA"/>
    </w:rPr>
  </w:style>
  <w:style w:type="character" w:styleId="Komentaronuoroda">
    <w:name w:val="annotation reference"/>
    <w:basedOn w:val="Numatytasispastraiposriftas"/>
    <w:uiPriority w:val="99"/>
    <w:semiHidden/>
    <w:unhideWhenUsed/>
    <w:rsid w:val="0039567E"/>
    <w:rPr>
      <w:sz w:val="16"/>
      <w:szCs w:val="16"/>
    </w:rPr>
  </w:style>
  <w:style w:type="paragraph" w:styleId="Komentarotekstas">
    <w:name w:val="annotation text"/>
    <w:basedOn w:val="prastasis"/>
    <w:link w:val="KomentarotekstasDiagrama"/>
    <w:uiPriority w:val="99"/>
    <w:semiHidden/>
    <w:unhideWhenUsed/>
    <w:rsid w:val="0039567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9567E"/>
    <w:rPr>
      <w:rFonts w:ascii="Times New Roman" w:eastAsia="Calibri" w:hAnsi="Times New Roman" w:cs="Calibri"/>
      <w:kern w:val="1"/>
      <w:sz w:val="20"/>
      <w:szCs w:val="20"/>
      <w:lang w:eastAsia="ar-SA"/>
    </w:rPr>
  </w:style>
  <w:style w:type="paragraph" w:styleId="Komentarotema">
    <w:name w:val="annotation subject"/>
    <w:basedOn w:val="Komentarotekstas"/>
    <w:next w:val="Komentarotekstas"/>
    <w:link w:val="KomentarotemaDiagrama"/>
    <w:uiPriority w:val="99"/>
    <w:semiHidden/>
    <w:unhideWhenUsed/>
    <w:rsid w:val="0039567E"/>
    <w:rPr>
      <w:b/>
      <w:bCs/>
    </w:rPr>
  </w:style>
  <w:style w:type="character" w:customStyle="1" w:styleId="KomentarotemaDiagrama">
    <w:name w:val="Komentaro tema Diagrama"/>
    <w:basedOn w:val="KomentarotekstasDiagrama"/>
    <w:link w:val="Komentarotema"/>
    <w:uiPriority w:val="99"/>
    <w:semiHidden/>
    <w:rsid w:val="0039567E"/>
    <w:rPr>
      <w:rFonts w:ascii="Times New Roman" w:eastAsia="Calibri" w:hAnsi="Times New Roman" w:cs="Calibri"/>
      <w:b/>
      <w:bCs/>
      <w:kern w:val="1"/>
      <w:sz w:val="20"/>
      <w:szCs w:val="20"/>
      <w:lang w:eastAsia="ar-SA"/>
    </w:rPr>
  </w:style>
  <w:style w:type="paragraph" w:styleId="Debesliotekstas">
    <w:name w:val="Balloon Text"/>
    <w:basedOn w:val="prastasis"/>
    <w:link w:val="DebesliotekstasDiagrama"/>
    <w:uiPriority w:val="99"/>
    <w:semiHidden/>
    <w:unhideWhenUsed/>
    <w:rsid w:val="006629D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9D3"/>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5B92-E994-4C44-9135-355D3EF6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27589</Words>
  <Characters>15726</Characters>
  <Application>Microsoft Office Word</Application>
  <DocSecurity>0</DocSecurity>
  <Lines>131</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Daiva</cp:lastModifiedBy>
  <cp:revision>2</cp:revision>
  <dcterms:created xsi:type="dcterms:W3CDTF">2024-11-26T09:32:00Z</dcterms:created>
  <dcterms:modified xsi:type="dcterms:W3CDTF">2024-11-26T09:32:00Z</dcterms:modified>
</cp:coreProperties>
</file>