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649" w:rsidRPr="007D1649" w:rsidRDefault="007D1649" w:rsidP="007D1649">
      <w:pPr>
        <w:spacing w:after="0" w:line="240" w:lineRule="auto"/>
        <w:jc w:val="right"/>
        <w:rPr>
          <w:rFonts w:ascii="Times New Roman" w:eastAsia="Times New Roman" w:hAnsi="Times New Roman" w:cs="Times New Roman"/>
          <w:bCs/>
          <w:sz w:val="24"/>
          <w:szCs w:val="24"/>
          <w:lang w:eastAsia="lt-LT"/>
        </w:rPr>
      </w:pPr>
      <w:bookmarkStart w:id="0" w:name="_GoBack"/>
      <w:bookmarkEnd w:id="0"/>
      <w:r w:rsidRPr="007D1649">
        <w:rPr>
          <w:rFonts w:ascii="Times New Roman" w:eastAsia="Times New Roman" w:hAnsi="Times New Roman" w:cs="Times New Roman"/>
          <w:bCs/>
          <w:sz w:val="24"/>
          <w:szCs w:val="24"/>
          <w:lang w:eastAsia="lt-LT"/>
        </w:rPr>
        <w:t>202</w:t>
      </w:r>
      <w:r>
        <w:rPr>
          <w:rFonts w:ascii="Times New Roman" w:eastAsia="Times New Roman" w:hAnsi="Times New Roman" w:cs="Times New Roman"/>
          <w:bCs/>
          <w:sz w:val="24"/>
          <w:szCs w:val="24"/>
          <w:lang w:eastAsia="lt-LT"/>
        </w:rPr>
        <w:t>4</w:t>
      </w:r>
      <w:r w:rsidRPr="007D1649">
        <w:rPr>
          <w:rFonts w:ascii="Times New Roman" w:eastAsia="Times New Roman" w:hAnsi="Times New Roman" w:cs="Times New Roman"/>
          <w:bCs/>
          <w:sz w:val="24"/>
          <w:szCs w:val="24"/>
          <w:lang w:eastAsia="lt-LT"/>
        </w:rPr>
        <w:t xml:space="preserve"> m.                    d.</w:t>
      </w:r>
    </w:p>
    <w:p w:rsidR="007D1649" w:rsidRPr="007D1649" w:rsidRDefault="007D1649" w:rsidP="007D1649">
      <w:pPr>
        <w:spacing w:after="0" w:line="240" w:lineRule="auto"/>
        <w:jc w:val="right"/>
        <w:rPr>
          <w:rFonts w:ascii="Times New Roman" w:eastAsia="Times New Roman" w:hAnsi="Times New Roman" w:cs="Times New Roman"/>
          <w:bCs/>
          <w:sz w:val="24"/>
          <w:szCs w:val="24"/>
          <w:lang w:eastAsia="lt-LT"/>
        </w:rPr>
      </w:pPr>
      <w:r w:rsidRPr="007D1649">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bCs/>
          <w:sz w:val="24"/>
          <w:szCs w:val="24"/>
          <w:lang w:eastAsia="lt-LT"/>
        </w:rPr>
        <w:t xml:space="preserve">                              </w:t>
      </w:r>
      <w:r w:rsidRPr="007D1649">
        <w:rPr>
          <w:rFonts w:ascii="Times New Roman" w:eastAsia="Times New Roman" w:hAnsi="Times New Roman" w:cs="Times New Roman"/>
          <w:bCs/>
          <w:sz w:val="24"/>
          <w:szCs w:val="24"/>
          <w:lang w:eastAsia="lt-LT"/>
        </w:rPr>
        <w:t>Sutarties Nr.</w:t>
      </w:r>
      <w:r w:rsidRPr="007D1649">
        <w:rPr>
          <w:rFonts w:ascii="Times New Roman" w:eastAsia="Times New Roman" w:hAnsi="Times New Roman" w:cs="Times New Roman"/>
          <w:bCs/>
          <w:color w:val="FFFFFF" w:themeColor="background1"/>
          <w:sz w:val="24"/>
          <w:szCs w:val="24"/>
          <w:lang w:eastAsia="lt-LT"/>
        </w:rPr>
        <w:t>00000</w:t>
      </w:r>
      <w:r w:rsidRPr="007D1649">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bCs/>
          <w:sz w:val="24"/>
          <w:szCs w:val="24"/>
          <w:lang w:eastAsia="lt-LT"/>
        </w:rPr>
        <w:t xml:space="preserve">    </w:t>
      </w:r>
    </w:p>
    <w:p w:rsidR="007D1649" w:rsidRPr="007D1649" w:rsidRDefault="007D1649" w:rsidP="007D1649">
      <w:pPr>
        <w:spacing w:after="0" w:line="240" w:lineRule="auto"/>
        <w:jc w:val="right"/>
        <w:rPr>
          <w:rFonts w:ascii="Times New Roman" w:eastAsia="Times New Roman" w:hAnsi="Times New Roman" w:cs="Times New Roman"/>
          <w:b/>
          <w:bCs/>
          <w:sz w:val="24"/>
          <w:szCs w:val="24"/>
          <w:lang w:eastAsia="lt-LT"/>
        </w:rPr>
      </w:pPr>
      <w:r w:rsidRPr="007D1649">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bCs/>
          <w:sz w:val="24"/>
          <w:szCs w:val="24"/>
          <w:lang w:eastAsia="lt-LT"/>
        </w:rPr>
        <w:t>6</w:t>
      </w:r>
      <w:r w:rsidRPr="007D1649">
        <w:rPr>
          <w:rFonts w:ascii="Times New Roman" w:eastAsia="Times New Roman" w:hAnsi="Times New Roman" w:cs="Times New Roman"/>
          <w:bCs/>
          <w:sz w:val="24"/>
          <w:szCs w:val="24"/>
          <w:lang w:eastAsia="lt-LT"/>
        </w:rPr>
        <w:t xml:space="preserve"> priedas</w:t>
      </w:r>
    </w:p>
    <w:p w:rsidR="007D1649" w:rsidRPr="007D1649" w:rsidRDefault="007D1649" w:rsidP="007D1649">
      <w:pPr>
        <w:spacing w:after="0" w:line="240" w:lineRule="auto"/>
        <w:jc w:val="center"/>
        <w:rPr>
          <w:rFonts w:ascii="Times New Roman" w:eastAsia="Times New Roman" w:hAnsi="Times New Roman" w:cs="Times New Roman"/>
          <w:b/>
          <w:bCs/>
          <w:sz w:val="24"/>
          <w:szCs w:val="24"/>
          <w:lang w:eastAsia="lt-LT"/>
        </w:rPr>
      </w:pPr>
    </w:p>
    <w:p w:rsidR="007D1649" w:rsidRPr="007D1649" w:rsidRDefault="007D1649" w:rsidP="007D1649">
      <w:pPr>
        <w:spacing w:after="0" w:line="240" w:lineRule="auto"/>
        <w:jc w:val="center"/>
        <w:rPr>
          <w:rFonts w:ascii="Times New Roman" w:eastAsia="Times New Roman" w:hAnsi="Times New Roman" w:cs="Times New Roman"/>
          <w:b/>
          <w:bCs/>
          <w:sz w:val="24"/>
          <w:szCs w:val="24"/>
          <w:lang w:eastAsia="lt-LT"/>
        </w:rPr>
      </w:pPr>
      <w:r w:rsidRPr="007D1649">
        <w:rPr>
          <w:rFonts w:ascii="Times New Roman" w:eastAsia="Times New Roman" w:hAnsi="Times New Roman" w:cs="Times New Roman"/>
          <w:b/>
          <w:bCs/>
          <w:sz w:val="24"/>
          <w:szCs w:val="24"/>
          <w:lang w:eastAsia="lt-LT"/>
        </w:rPr>
        <w:t>PREKIŲ PIRKIMO-PARDAVIMO SUTARTIES ĮKAINIO PERSKAIČIAVIMO SĄLYGOS</w:t>
      </w:r>
    </w:p>
    <w:p w:rsidR="007D1649" w:rsidRPr="007D1649" w:rsidRDefault="007D1649" w:rsidP="007D1649">
      <w:pPr>
        <w:spacing w:after="0" w:line="240" w:lineRule="auto"/>
        <w:jc w:val="center"/>
        <w:rPr>
          <w:rFonts w:ascii="Times New Roman" w:eastAsia="Times New Roman" w:hAnsi="Times New Roman" w:cs="Times New Roman"/>
          <w:b/>
          <w:bCs/>
          <w:sz w:val="24"/>
          <w:szCs w:val="24"/>
          <w:lang w:eastAsia="lt-LT"/>
        </w:rPr>
      </w:pPr>
    </w:p>
    <w:p w:rsidR="007D1649" w:rsidRPr="007D1649" w:rsidRDefault="007D1649" w:rsidP="007D1649">
      <w:pPr>
        <w:spacing w:after="0" w:line="240" w:lineRule="auto"/>
        <w:jc w:val="both"/>
        <w:rPr>
          <w:rFonts w:ascii="Times New Roman" w:eastAsia="Times New Roman" w:hAnsi="Times New Roman" w:cs="Times New Roman"/>
          <w:sz w:val="24"/>
          <w:szCs w:val="24"/>
          <w:lang w:eastAsia="lt-LT"/>
        </w:rPr>
      </w:pPr>
      <w:r w:rsidRPr="007D1649">
        <w:rPr>
          <w:rFonts w:ascii="Times New Roman" w:eastAsia="Times New Roman" w:hAnsi="Times New Roman" w:cs="Times New Roman"/>
          <w:sz w:val="24"/>
          <w:szCs w:val="24"/>
          <w:lang w:eastAsia="lt-LT"/>
        </w:rPr>
        <w:t>Bet kuri Sutarties šalis (</w:t>
      </w:r>
      <w:r w:rsidRPr="007D1649">
        <w:rPr>
          <w:rFonts w:ascii="Times New Roman" w:eastAsia="Times New Roman" w:hAnsi="Times New Roman" w:cs="Times New Roman"/>
          <w:b/>
          <w:sz w:val="24"/>
          <w:szCs w:val="24"/>
          <w:lang w:eastAsia="lt-LT"/>
        </w:rPr>
        <w:t>Pirkėjas</w:t>
      </w:r>
      <w:r w:rsidRPr="007D1649">
        <w:rPr>
          <w:rFonts w:ascii="Times New Roman" w:eastAsia="Times New Roman" w:hAnsi="Times New Roman" w:cs="Times New Roman"/>
          <w:sz w:val="24"/>
          <w:szCs w:val="24"/>
          <w:lang w:eastAsia="lt-LT"/>
        </w:rPr>
        <w:t xml:space="preserve"> arba </w:t>
      </w:r>
      <w:r w:rsidRPr="007D1649">
        <w:rPr>
          <w:rFonts w:ascii="Times New Roman" w:eastAsia="Times New Roman" w:hAnsi="Times New Roman" w:cs="Times New Roman"/>
          <w:b/>
          <w:sz w:val="24"/>
          <w:szCs w:val="24"/>
          <w:lang w:eastAsia="lt-LT"/>
        </w:rPr>
        <w:t>Pardavėjas</w:t>
      </w:r>
      <w:r w:rsidRPr="007D1649">
        <w:rPr>
          <w:rFonts w:ascii="Times New Roman" w:eastAsia="Times New Roman" w:hAnsi="Times New Roman" w:cs="Times New Roman"/>
          <w:sz w:val="24"/>
          <w:szCs w:val="24"/>
          <w:lang w:eastAsia="lt-LT"/>
        </w:rPr>
        <w:t>) Sutarties galiojimo metu turi teisę inicijuoti Sutartyje numatytų įkainio perskaičiavimą (keitimą) pagal šioje Įkainio perskaičiavimo metodikoje (toliau – Metodika) nustatytą tvarką, ne anksčiau kaip po 12 (</w:t>
      </w:r>
      <w:r w:rsidRPr="007D1649">
        <w:rPr>
          <w:rFonts w:ascii="Times New Roman" w:eastAsia="Times New Roman" w:hAnsi="Times New Roman" w:cs="Times New Roman"/>
          <w:i/>
          <w:sz w:val="24"/>
          <w:szCs w:val="24"/>
          <w:lang w:eastAsia="lt-LT"/>
        </w:rPr>
        <w:t>dvylikos</w:t>
      </w:r>
      <w:r w:rsidRPr="007D1649">
        <w:rPr>
          <w:rFonts w:ascii="Times New Roman" w:eastAsia="Times New Roman" w:hAnsi="Times New Roman" w:cs="Times New Roman"/>
          <w:sz w:val="24"/>
          <w:szCs w:val="24"/>
          <w:lang w:eastAsia="lt-LT"/>
        </w:rPr>
        <w:t xml:space="preserve">) mėnesių nuo Sutarties sudarymo dienos (pirmą kartą), vėliau praėjus ne trumpesniam kaip 12 (dvylikos) mėnesių laikotarpiui nuo ankstesnio įkainio perskaičiavimo dienos, jeigu </w:t>
      </w:r>
      <w:r w:rsidRPr="007D1649">
        <w:rPr>
          <w:rFonts w:ascii="Times New Roman" w:eastAsia="Times New Roman" w:hAnsi="Times New Roman" w:cs="Times New Roman"/>
          <w:b/>
          <w:bCs/>
          <w:i/>
          <w:iCs/>
          <w:sz w:val="24"/>
          <w:szCs w:val="24"/>
          <w:lang w:eastAsia="lt-LT"/>
        </w:rPr>
        <w:t>Vartojimo prekių ir paslaugų kainų pokytis (k)</w:t>
      </w:r>
      <w:r w:rsidRPr="007D1649">
        <w:rPr>
          <w:rFonts w:ascii="Times New Roman" w:eastAsia="Times New Roman" w:hAnsi="Times New Roman" w:cs="Times New Roman"/>
          <w:sz w:val="24"/>
          <w:szCs w:val="24"/>
          <w:lang w:eastAsia="lt-LT"/>
        </w:rPr>
        <w:t xml:space="preserve">, apskaičiuotas kaip nustatyta Metodikos 2.1. punkte, viršija 10 procentų. </w:t>
      </w:r>
      <w:r w:rsidRPr="007D1649">
        <w:rPr>
          <w:rFonts w:ascii="Times New Roman" w:eastAsia="Times New Roman" w:hAnsi="Times New Roman" w:cs="Times New Roman"/>
          <w:color w:val="FF0000"/>
          <w:sz w:val="24"/>
          <w:szCs w:val="24"/>
          <w:lang w:eastAsia="lt-LT"/>
        </w:rPr>
        <w:t xml:space="preserve">Atlikdamos perskaičiavimą Šalys vadovaujasi EUROSTAT viešai oficialiosios statistikos portalo duomenų bazėje paskelbtais Europos Sąjungos duomenimis, iš kitos Šalies nereikalaudamos pateikti oficialaus EUROSTAT ar kitos institucijos išduoto dokumento ar patvirtinimo. </w:t>
      </w:r>
      <w:r w:rsidRPr="007D1649">
        <w:rPr>
          <w:rFonts w:ascii="TimesNewRomanPSMT" w:eastAsia="Times New Roman" w:hAnsi="TimesNewRomanPSMT" w:cs="TimesNewRomanPSMT"/>
          <w:color w:val="000000"/>
          <w:sz w:val="24"/>
          <w:szCs w:val="24"/>
          <w:lang w:eastAsia="lt-LT"/>
        </w:rPr>
        <w:t>(</w:t>
      </w:r>
      <w:r w:rsidRPr="007D1649">
        <w:rPr>
          <w:rFonts w:ascii="TimesNewRomanPSMT" w:eastAsia="Times New Roman" w:hAnsi="TimesNewRomanPSMT" w:cs="TimesNewRomanPSMT"/>
          <w:color w:val="0000FF"/>
          <w:sz w:val="24"/>
          <w:szCs w:val="24"/>
          <w:lang w:eastAsia="lt-LT"/>
        </w:rPr>
        <w:t>https://osp.stat.gov.lt/statistiniu-rodikliu-analize?indicator=S7R265#/</w:t>
      </w:r>
      <w:r w:rsidRPr="007D1649">
        <w:rPr>
          <w:rFonts w:ascii="TimesNewRomanPSMT" w:eastAsia="Times New Roman" w:hAnsi="TimesNewRomanPSMT" w:cs="TimesNewRomanPSMT"/>
          <w:color w:val="000000"/>
          <w:sz w:val="24"/>
          <w:szCs w:val="24"/>
          <w:lang w:eastAsia="lt-LT"/>
        </w:rPr>
        <w:t>)</w:t>
      </w:r>
    </w:p>
    <w:p w:rsidR="007D1649" w:rsidRPr="007D1649" w:rsidRDefault="007D1649" w:rsidP="007D1649">
      <w:pPr>
        <w:spacing w:after="0" w:line="240" w:lineRule="auto"/>
        <w:jc w:val="both"/>
        <w:rPr>
          <w:rFonts w:ascii="Times New Roman" w:eastAsia="Times New Roman" w:hAnsi="Times New Roman" w:cs="Times New Roman"/>
          <w:sz w:val="24"/>
          <w:szCs w:val="24"/>
          <w:lang w:eastAsia="lt-LT"/>
        </w:rPr>
      </w:pPr>
      <w:r w:rsidRPr="007D1649">
        <w:rPr>
          <w:rFonts w:ascii="Times New Roman" w:eastAsia="Times New Roman" w:hAnsi="Times New Roman" w:cs="Times New Roman"/>
          <w:sz w:val="24"/>
          <w:szCs w:val="24"/>
          <w:lang w:eastAsia="lt-LT"/>
        </w:rPr>
        <w:t xml:space="preserve">1. </w:t>
      </w:r>
      <w:r w:rsidRPr="007D1649">
        <w:rPr>
          <w:rFonts w:ascii="TimesNewRomanPSMT" w:eastAsia="Times New Roman" w:hAnsi="TimesNewRomanPSMT" w:cs="TimesNewRomanPSMT"/>
          <w:sz w:val="24"/>
          <w:szCs w:val="24"/>
          <w:lang w:eastAsia="lt-LT"/>
        </w:rPr>
        <w:t xml:space="preserve">Šalys privalo susitarime dėl įkainių perskaičiavimo (toliau – Susitarimas) nurodyti </w:t>
      </w:r>
      <w:r w:rsidRPr="007D1649">
        <w:rPr>
          <w:rFonts w:ascii="Times New Roman" w:eastAsia="Times New Roman" w:hAnsi="Times New Roman" w:cs="Times New Roman"/>
          <w:sz w:val="24"/>
          <w:szCs w:val="24"/>
          <w:lang w:eastAsia="lt-LT"/>
        </w:rPr>
        <w:t>indekso reikšmę laikotarpio pradžioje ir jos nustatymo datą, indekso reikšmę laikotarpio pabaigoje ir jos nustatymo datą, kainų pokytį (k), perskaičiuotus įkainius, perskaičiuotą pradinės sutarties vertę.</w:t>
      </w:r>
    </w:p>
    <w:p w:rsidR="007D1649" w:rsidRPr="007D1649" w:rsidRDefault="007D1649" w:rsidP="007D1649">
      <w:pPr>
        <w:spacing w:after="0" w:line="240" w:lineRule="auto"/>
        <w:jc w:val="both"/>
        <w:rPr>
          <w:rFonts w:ascii="Times New Roman" w:eastAsia="Times New Roman" w:hAnsi="Times New Roman" w:cs="Times New Roman"/>
          <w:sz w:val="24"/>
          <w:szCs w:val="24"/>
          <w:lang w:eastAsia="lt-LT"/>
        </w:rPr>
      </w:pPr>
      <w:r w:rsidRPr="007D1649">
        <w:rPr>
          <w:rFonts w:ascii="Times New Roman" w:eastAsia="Times New Roman" w:hAnsi="Times New Roman" w:cs="Times New Roman"/>
          <w:sz w:val="24"/>
          <w:szCs w:val="24"/>
          <w:lang w:eastAsia="lt-LT"/>
        </w:rPr>
        <w:t>2. Perskaičiuotieji įkainiai taikomi užsakymams, pateiktiems po to, kai Šalys sudaro susitarimą dėl įkainio perskaičiavimo.</w:t>
      </w:r>
    </w:p>
    <w:p w:rsidR="007D1649" w:rsidRPr="007D1649" w:rsidRDefault="007D1649" w:rsidP="007D1649">
      <w:pPr>
        <w:spacing w:after="0" w:line="240" w:lineRule="auto"/>
        <w:rPr>
          <w:rFonts w:ascii="Times New Roman" w:eastAsia="Times New Roman" w:hAnsi="Times New Roman" w:cs="Times New Roman"/>
          <w:sz w:val="24"/>
          <w:szCs w:val="24"/>
          <w:lang w:eastAsia="lt-LT"/>
        </w:rPr>
      </w:pPr>
      <w:r w:rsidRPr="007D1649">
        <w:rPr>
          <w:rFonts w:ascii="Times New Roman" w:eastAsia="Times New Roman" w:hAnsi="Times New Roman" w:cs="Times New Roman"/>
          <w:sz w:val="24"/>
          <w:szCs w:val="24"/>
          <w:lang w:eastAsia="lt-LT"/>
        </w:rPr>
        <w:t>2.1. Nauji įkainiai apskaičiuojami pagal formulę:</w:t>
      </w:r>
    </w:p>
    <w:p w:rsidR="007D1649" w:rsidRPr="007D1649" w:rsidRDefault="007D1649" w:rsidP="007D1649">
      <w:pPr>
        <w:spacing w:after="0" w:line="240" w:lineRule="auto"/>
        <w:rPr>
          <w:rFonts w:ascii="Times New Roman" w:eastAsia="Times New Roman" w:hAnsi="Times New Roman" w:cs="Times New Roman"/>
          <w:i/>
          <w:iCs/>
          <w:sz w:val="24"/>
          <w:szCs w:val="24"/>
          <w:lang w:eastAsia="lt-LT"/>
        </w:rPr>
      </w:pPr>
      <w:r w:rsidRPr="007D1649">
        <w:rPr>
          <w:rFonts w:ascii="Times New Roman" w:eastAsia="Times New Roman" w:hAnsi="Times New Roman" w:cs="Times New Roman"/>
          <w:iCs/>
          <w:sz w:val="24"/>
          <w:szCs w:val="24"/>
          <w:lang w:eastAsia="lt-LT"/>
        </w:rPr>
        <w:fldChar w:fldCharType="begin"/>
      </w:r>
      <w:r w:rsidRPr="007D1649">
        <w:rPr>
          <w:rFonts w:ascii="Times New Roman" w:eastAsia="Times New Roman" w:hAnsi="Times New Roman" w:cs="Times New Roman"/>
          <w:iCs/>
          <w:sz w:val="24"/>
          <w:szCs w:val="24"/>
          <w:lang w:eastAsia="lt-LT"/>
        </w:rPr>
        <w:instrText xml:space="preserve"> QUOTE </w:instrText>
      </w:r>
      <m:oMath>
        <m:sSub>
          <m:sSubPr>
            <m:ctrlPr>
              <w:rPr>
                <w:rFonts w:ascii="Cambria Math" w:hAnsi="Cambria Math"/>
                <w:i/>
                <w:iCs/>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=a+</m:t>
        </m:r>
        <m:d>
          <m:dPr>
            <m:ctrlPr>
              <w:rPr>
                <w:rFonts w:ascii="Cambria Math" w:hAnsi="Cambria Math"/>
                <w:i/>
                <w:iCs/>
              </w:rPr>
            </m:ctrlPr>
          </m:dPr>
          <m:e>
            <m:f>
              <m:fPr>
                <m:ctrlPr>
                  <w:rPr>
                    <w:rFonts w:ascii="Cambria Math" w:hAnsi="Cambria Math"/>
                    <w:i/>
                    <w:iCs/>
                  </w:rPr>
                </m:ctrlPr>
              </m:fPr>
              <m:num>
                <m:r>
                  <m:rPr>
                    <m:sty m:val="p"/>
                  </m:rPr>
                  <w:rPr>
                    <w:rFonts w:ascii="Cambria Math" w:hAnsi="Cambria Math"/>
                  </w:rPr>
                  <m:t>k</m:t>
                </m:r>
              </m:num>
              <m:den>
                <m:r>
                  <m:rPr>
                    <m:sty m:val="p"/>
                  </m:rPr>
                  <w:rPr>
                    <w:rFonts w:ascii="Cambria Math" w:hAnsi="Cambria Math"/>
                  </w:rPr>
                  <m:t>100</m:t>
                </m:r>
              </m:den>
            </m:f>
            <m:r>
              <m:rPr>
                <m:sty m:val="p"/>
              </m:rPr>
              <w:rPr>
                <w:rFonts w:ascii="Cambria Math" w:hAnsi="Cambria Math"/>
              </w:rPr>
              <m:t>×a</m:t>
            </m:r>
          </m:e>
        </m:d>
        <m:sSub>
          <m:sSubPr>
            <m:ctrlPr>
              <w:rPr>
                <w:rFonts w:ascii="Cambria Math" w:hAnsi="Cambria Math"/>
                <w:i/>
                <w:iCs/>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=a+</m:t>
        </m:r>
        <m:d>
          <m:dPr>
            <m:ctrlPr>
              <w:rPr>
                <w:rFonts w:ascii="Cambria Math" w:hAnsi="Cambria Math"/>
                <w:i/>
                <w:iCs/>
              </w:rPr>
            </m:ctrlPr>
          </m:dPr>
          <m:e>
            <m:f>
              <m:fPr>
                <m:ctrlPr>
                  <w:rPr>
                    <w:rFonts w:ascii="Cambria Math" w:hAnsi="Cambria Math"/>
                    <w:i/>
                    <w:iCs/>
                  </w:rPr>
                </m:ctrlPr>
              </m:fPr>
              <m:num>
                <m:r>
                  <m:rPr>
                    <m:sty m:val="p"/>
                  </m:rPr>
                  <w:rPr>
                    <w:rFonts w:ascii="Cambria Math" w:hAnsi="Cambria Math"/>
                  </w:rPr>
                  <m:t>k</m:t>
                </m:r>
              </m:num>
              <m:den>
                <m:r>
                  <m:rPr>
                    <m:sty m:val="p"/>
                  </m:rPr>
                  <w:rPr>
                    <w:rFonts w:ascii="Cambria Math" w:hAnsi="Cambria Math"/>
                  </w:rPr>
                  <m:t>100</m:t>
                </m:r>
              </m:den>
            </m:f>
            <m:r>
              <m:rPr>
                <m:sty m:val="p"/>
              </m:rPr>
              <w:rPr>
                <w:rFonts w:ascii="Cambria Math" w:hAnsi="Cambria Math"/>
              </w:rPr>
              <m:t>×a</m:t>
            </m:r>
          </m:e>
        </m:d>
        <m:sSub>
          <m:sSubPr>
            <m:ctrlPr>
              <w:rPr>
                <w:rFonts w:ascii="Cambria Math" w:hAnsi="Cambria Math"/>
                <w:i/>
                <w:iCs/>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=a+</m:t>
        </m:r>
        <m:d>
          <m:dPr>
            <m:ctrlPr>
              <w:rPr>
                <w:rFonts w:ascii="Cambria Math" w:hAnsi="Cambria Math"/>
                <w:i/>
                <w:iCs/>
              </w:rPr>
            </m:ctrlPr>
          </m:dPr>
          <m:e>
            <m:f>
              <m:fPr>
                <m:ctrlPr>
                  <w:rPr>
                    <w:rFonts w:ascii="Cambria Math" w:hAnsi="Cambria Math"/>
                    <w:i/>
                    <w:iCs/>
                  </w:rPr>
                </m:ctrlPr>
              </m:fPr>
              <m:num>
                <m:r>
                  <m:rPr>
                    <m:sty m:val="p"/>
                  </m:rPr>
                  <w:rPr>
                    <w:rFonts w:ascii="Cambria Math" w:hAnsi="Cambria Math"/>
                  </w:rPr>
                  <m:t>k</m:t>
                </m:r>
              </m:num>
              <m:den>
                <m:r>
                  <m:rPr>
                    <m:sty m:val="p"/>
                  </m:rPr>
                  <w:rPr>
                    <w:rFonts w:ascii="Cambria Math" w:hAnsi="Cambria Math"/>
                  </w:rPr>
                  <m:t>100</m:t>
                </m:r>
              </m:den>
            </m:f>
            <m:r>
              <m:rPr>
                <m:sty m:val="p"/>
              </m:rPr>
              <w:rPr>
                <w:rFonts w:ascii="Cambria Math" w:hAnsi="Cambria Math"/>
              </w:rPr>
              <m:t>×a</m:t>
            </m:r>
          </m:e>
        </m:d>
      </m:oMath>
      <w:r w:rsidRPr="007D1649">
        <w:rPr>
          <w:rFonts w:ascii="Times New Roman" w:eastAsia="Times New Roman" w:hAnsi="Times New Roman" w:cs="Times New Roman"/>
          <w:iCs/>
          <w:sz w:val="24"/>
          <w:szCs w:val="24"/>
          <w:lang w:eastAsia="lt-LT"/>
        </w:rPr>
        <w:instrText xml:space="preserve"> </w:instrText>
      </w:r>
      <w:r w:rsidRPr="007D1649">
        <w:rPr>
          <w:rFonts w:ascii="Times New Roman" w:eastAsia="Times New Roman" w:hAnsi="Times New Roman" w:cs="Times New Roman"/>
          <w:iCs/>
          <w:sz w:val="24"/>
          <w:szCs w:val="24"/>
          <w:lang w:eastAsia="lt-LT"/>
        </w:rPr>
        <w:fldChar w:fldCharType="separate"/>
      </w:r>
      <w:r w:rsidRPr="007D1649">
        <w:rPr>
          <w:rFonts w:ascii="Times New Roman" w:eastAsia="Times New Roman" w:hAnsi="Times New Roman" w:cs="Times New Roman"/>
          <w:iCs/>
          <w:noProof/>
          <w:sz w:val="24"/>
          <w:szCs w:val="24"/>
          <w:lang w:val="en-US"/>
        </w:rPr>
        <w:drawing>
          <wp:inline distT="0" distB="0" distL="0" distR="0">
            <wp:extent cx="1228725" cy="285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8725" cy="285750"/>
                    </a:xfrm>
                    <a:prstGeom prst="rect">
                      <a:avLst/>
                    </a:prstGeom>
                    <a:noFill/>
                  </pic:spPr>
                </pic:pic>
              </a:graphicData>
            </a:graphic>
          </wp:inline>
        </w:drawing>
      </w:r>
      <w:r w:rsidRPr="007D1649">
        <w:rPr>
          <w:rFonts w:ascii="Times New Roman" w:eastAsia="Times New Roman" w:hAnsi="Times New Roman" w:cs="Times New Roman"/>
          <w:iCs/>
          <w:sz w:val="24"/>
          <w:szCs w:val="24"/>
          <w:lang w:eastAsia="lt-LT"/>
        </w:rPr>
        <w:fldChar w:fldCharType="end"/>
      </w:r>
      <w:r w:rsidRPr="007D1649">
        <w:rPr>
          <w:rFonts w:ascii="Times New Roman" w:eastAsia="Times New Roman" w:hAnsi="Times New Roman" w:cs="Times New Roman"/>
          <w:i/>
          <w:iCs/>
          <w:sz w:val="24"/>
          <w:szCs w:val="24"/>
          <w:lang w:eastAsia="lt-LT"/>
        </w:rPr>
        <w:t xml:space="preserve">, </w:t>
      </w:r>
      <w:r w:rsidRPr="007D1649">
        <w:rPr>
          <w:rFonts w:ascii="Times New Roman" w:eastAsia="Times New Roman" w:hAnsi="Times New Roman" w:cs="Times New Roman"/>
          <w:sz w:val="24"/>
          <w:szCs w:val="24"/>
          <w:lang w:eastAsia="lt-LT"/>
        </w:rPr>
        <w:t xml:space="preserve"> kur</w:t>
      </w:r>
    </w:p>
    <w:p w:rsidR="007D1649" w:rsidRPr="007D1649" w:rsidRDefault="007D1649" w:rsidP="007D1649">
      <w:pPr>
        <w:spacing w:after="0" w:line="240" w:lineRule="auto"/>
        <w:rPr>
          <w:rFonts w:ascii="Times New Roman" w:eastAsia="Times New Roman" w:hAnsi="Times New Roman" w:cs="Times New Roman"/>
          <w:sz w:val="24"/>
          <w:szCs w:val="24"/>
          <w:lang w:eastAsia="lt-LT"/>
        </w:rPr>
      </w:pPr>
      <w:r w:rsidRPr="007D1649">
        <w:rPr>
          <w:rFonts w:ascii="Times New Roman" w:eastAsia="Times New Roman" w:hAnsi="Times New Roman" w:cs="Times New Roman"/>
          <w:sz w:val="24"/>
          <w:szCs w:val="24"/>
          <w:lang w:eastAsia="lt-LT"/>
        </w:rPr>
        <w:t>a – įkainis (</w:t>
      </w:r>
      <w:proofErr w:type="spellStart"/>
      <w:r w:rsidRPr="007D1649">
        <w:rPr>
          <w:rFonts w:ascii="Times New Roman" w:eastAsia="Times New Roman" w:hAnsi="Times New Roman" w:cs="Times New Roman"/>
          <w:sz w:val="24"/>
          <w:szCs w:val="24"/>
          <w:lang w:eastAsia="lt-LT"/>
        </w:rPr>
        <w:t>Eur</w:t>
      </w:r>
      <w:proofErr w:type="spellEnd"/>
      <w:r w:rsidRPr="007D1649">
        <w:rPr>
          <w:rFonts w:ascii="Times New Roman" w:eastAsia="Times New Roman" w:hAnsi="Times New Roman" w:cs="Times New Roman"/>
          <w:sz w:val="24"/>
          <w:szCs w:val="24"/>
          <w:lang w:eastAsia="lt-LT"/>
        </w:rPr>
        <w:t xml:space="preserve"> be PVM)) (jei jis jau buvo perskaičiuotas, tai po ankstesnio perskaičiavimo);</w:t>
      </w:r>
    </w:p>
    <w:p w:rsidR="007D1649" w:rsidRPr="007D1649" w:rsidRDefault="007D1649" w:rsidP="007D1649">
      <w:pPr>
        <w:spacing w:after="0" w:line="240" w:lineRule="auto"/>
        <w:rPr>
          <w:rFonts w:ascii="Times New Roman" w:eastAsia="Times New Roman" w:hAnsi="Times New Roman" w:cs="Times New Roman"/>
          <w:sz w:val="24"/>
          <w:szCs w:val="24"/>
          <w:lang w:eastAsia="lt-LT"/>
        </w:rPr>
      </w:pPr>
      <w:r w:rsidRPr="007D1649">
        <w:rPr>
          <w:rFonts w:ascii="Times New Roman" w:eastAsia="Times New Roman" w:hAnsi="Times New Roman" w:cs="Times New Roman"/>
          <w:sz w:val="24"/>
          <w:szCs w:val="24"/>
          <w:lang w:eastAsia="lt-LT"/>
        </w:rPr>
        <w:t>a</w:t>
      </w:r>
      <w:r w:rsidRPr="007D1649">
        <w:rPr>
          <w:rFonts w:ascii="Times New Roman" w:eastAsia="Times New Roman" w:hAnsi="Times New Roman" w:cs="Times New Roman"/>
          <w:sz w:val="24"/>
          <w:szCs w:val="24"/>
          <w:vertAlign w:val="subscript"/>
          <w:lang w:eastAsia="lt-LT"/>
        </w:rPr>
        <w:t>1</w:t>
      </w:r>
      <w:r w:rsidRPr="007D1649">
        <w:rPr>
          <w:rFonts w:ascii="Times New Roman" w:eastAsia="Times New Roman" w:hAnsi="Times New Roman" w:cs="Times New Roman"/>
          <w:sz w:val="24"/>
          <w:szCs w:val="24"/>
          <w:lang w:eastAsia="lt-LT"/>
        </w:rPr>
        <w:t xml:space="preserve"> – perskaičiuotas (pakeistas) įkainis (</w:t>
      </w:r>
      <w:proofErr w:type="spellStart"/>
      <w:r w:rsidRPr="007D1649">
        <w:rPr>
          <w:rFonts w:ascii="Times New Roman" w:eastAsia="Times New Roman" w:hAnsi="Times New Roman" w:cs="Times New Roman"/>
          <w:sz w:val="24"/>
          <w:szCs w:val="24"/>
          <w:lang w:eastAsia="lt-LT"/>
        </w:rPr>
        <w:t>Eur</w:t>
      </w:r>
      <w:proofErr w:type="spellEnd"/>
      <w:r w:rsidRPr="007D1649">
        <w:rPr>
          <w:rFonts w:ascii="Times New Roman" w:eastAsia="Times New Roman" w:hAnsi="Times New Roman" w:cs="Times New Roman"/>
          <w:sz w:val="24"/>
          <w:szCs w:val="24"/>
          <w:lang w:eastAsia="lt-LT"/>
        </w:rPr>
        <w:t xml:space="preserve"> be PVM);</w:t>
      </w:r>
    </w:p>
    <w:p w:rsidR="007D1649" w:rsidRPr="007D1649" w:rsidRDefault="007D1649" w:rsidP="007D1649">
      <w:pPr>
        <w:spacing w:after="0" w:line="240" w:lineRule="auto"/>
        <w:jc w:val="both"/>
        <w:rPr>
          <w:rFonts w:ascii="Times New Roman" w:eastAsia="Times New Roman" w:hAnsi="Times New Roman" w:cs="Times New Roman"/>
          <w:sz w:val="24"/>
          <w:szCs w:val="24"/>
          <w:lang w:eastAsia="lt-LT"/>
        </w:rPr>
      </w:pPr>
      <w:r w:rsidRPr="007D1649">
        <w:rPr>
          <w:rFonts w:ascii="Times New Roman" w:eastAsia="Times New Roman" w:hAnsi="Times New Roman" w:cs="Times New Roman"/>
          <w:sz w:val="24"/>
          <w:szCs w:val="24"/>
          <w:lang w:eastAsia="lt-LT"/>
        </w:rPr>
        <w:t xml:space="preserve">k – Pagal Suderintą vartotojų kainų indeksą apskaičiuotas Vartojimo prekių ir paslaugų kainų pokytis (padidėjimas arba sumažėjimas) (%). „k“ reikšmė skaičiuojama pagal formulę: </w:t>
      </w:r>
    </w:p>
    <w:p w:rsidR="007D1649" w:rsidRPr="007D1649" w:rsidRDefault="007D1649" w:rsidP="007D1649">
      <w:pPr>
        <w:spacing w:after="0" w:line="240" w:lineRule="auto"/>
        <w:jc w:val="both"/>
        <w:rPr>
          <w:rFonts w:ascii="Times New Roman" w:eastAsia="Times New Roman" w:hAnsi="Times New Roman" w:cs="Times New Roman"/>
          <w:sz w:val="24"/>
          <w:szCs w:val="24"/>
          <w:lang w:eastAsia="lt-LT"/>
        </w:rPr>
      </w:pPr>
    </w:p>
    <w:p w:rsidR="007D1649" w:rsidRPr="007D1649" w:rsidRDefault="007D1649" w:rsidP="007D1649">
      <w:pPr>
        <w:spacing w:after="0" w:line="240" w:lineRule="auto"/>
        <w:rPr>
          <w:rFonts w:ascii="Times New Roman" w:eastAsia="Times New Roman" w:hAnsi="Times New Roman" w:cs="Times New Roman"/>
          <w:sz w:val="24"/>
          <w:szCs w:val="24"/>
          <w:lang w:eastAsia="lt-LT"/>
        </w:rPr>
      </w:pPr>
      <m:oMath>
        <m:r>
          <w:rPr>
            <w:rFonts w:ascii="Cambria Math" w:hAnsi="Cambria Math"/>
          </w:rPr>
          <m:t>k =</m:t>
        </m:r>
        <m:f>
          <m:fPr>
            <m:ctrlPr>
              <w:rPr>
                <w:rFonts w:ascii="Cambria Math" w:hAnsi="Cambria Math"/>
                <w:i/>
                <w:iCs/>
              </w:rPr>
            </m:ctrlPr>
          </m:fPr>
          <m:num>
            <m:sSub>
              <m:sSubPr>
                <m:ctrlPr>
                  <w:rPr>
                    <w:rFonts w:ascii="Cambria Math" w:hAnsi="Cambria Math"/>
                    <w:i/>
                    <w:iCs/>
                  </w:rPr>
                </m:ctrlPr>
              </m:sSubPr>
              <m:e>
                <m:r>
                  <w:rPr>
                    <w:rFonts w:ascii="Cambria Math" w:hAnsi="Cambria Math"/>
                  </w:rPr>
                  <m:t>Ind</m:t>
                </m:r>
              </m:e>
              <m:sub>
                <m:r>
                  <w:rPr>
                    <w:rFonts w:ascii="Cambria Math" w:hAnsi="Cambria Math"/>
                  </w:rPr>
                  <m:t>naujausias</m:t>
                </m:r>
              </m:sub>
            </m:sSub>
          </m:num>
          <m:den>
            <m:sSub>
              <m:sSubPr>
                <m:ctrlPr>
                  <w:rPr>
                    <w:rFonts w:ascii="Cambria Math" w:hAnsi="Cambria Math"/>
                    <w:i/>
                    <w:iCs/>
                  </w:rPr>
                </m:ctrlPr>
              </m:sSubPr>
              <m:e>
                <m:r>
                  <w:rPr>
                    <w:rFonts w:ascii="Cambria Math" w:hAnsi="Cambria Math"/>
                  </w:rPr>
                  <m:t>Ind</m:t>
                </m:r>
              </m:e>
              <m:sub>
                <m:r>
                  <w:rPr>
                    <w:rFonts w:ascii="Cambria Math" w:hAnsi="Cambria Math"/>
                  </w:rPr>
                  <m:t>pradžia</m:t>
                </m:r>
              </m:sub>
            </m:sSub>
          </m:den>
        </m:f>
        <m:r>
          <w:rPr>
            <w:rFonts w:ascii="Cambria Math" w:hAnsi="Cambria Math"/>
          </w:rPr>
          <m:t>×100-100</m:t>
        </m:r>
      </m:oMath>
      <w:r w:rsidRPr="007D1649">
        <w:rPr>
          <w:rFonts w:ascii="Times New Roman" w:eastAsia="Times New Roman" w:hAnsi="Times New Roman" w:cs="Times New Roman"/>
          <w:sz w:val="24"/>
          <w:szCs w:val="24"/>
          <w:lang w:eastAsia="lt-LT"/>
        </w:rPr>
        <w:t xml:space="preserve">, (proc.) kur                      </w:t>
      </w:r>
    </w:p>
    <w:p w:rsidR="007D1649" w:rsidRPr="007D1649" w:rsidRDefault="007D1649" w:rsidP="007D1649">
      <w:pPr>
        <w:spacing w:after="0" w:line="240" w:lineRule="auto"/>
        <w:rPr>
          <w:rFonts w:ascii="Times New Roman" w:eastAsia="Times New Roman" w:hAnsi="Times New Roman" w:cs="Times New Roman"/>
          <w:sz w:val="24"/>
          <w:szCs w:val="24"/>
          <w:lang w:eastAsia="lt-LT"/>
        </w:rPr>
      </w:pPr>
    </w:p>
    <w:p w:rsidR="007D1649" w:rsidRPr="007D1649" w:rsidRDefault="007D1649" w:rsidP="007D1649">
      <w:pPr>
        <w:spacing w:after="0" w:line="240" w:lineRule="auto"/>
        <w:jc w:val="both"/>
        <w:rPr>
          <w:rFonts w:ascii="Times New Roman" w:eastAsia="Times New Roman" w:hAnsi="Times New Roman" w:cs="Times New Roman"/>
          <w:sz w:val="24"/>
          <w:szCs w:val="24"/>
          <w:lang w:eastAsia="lt-LT"/>
        </w:rPr>
      </w:pPr>
      <w:proofErr w:type="spellStart"/>
      <w:r w:rsidRPr="007D1649">
        <w:rPr>
          <w:rFonts w:ascii="Times New Roman" w:eastAsia="Times New Roman" w:hAnsi="Times New Roman" w:cs="Times New Roman"/>
          <w:sz w:val="24"/>
          <w:szCs w:val="24"/>
          <w:lang w:eastAsia="lt-LT"/>
        </w:rPr>
        <w:t>Ind</w:t>
      </w:r>
      <w:r w:rsidRPr="007D1649">
        <w:rPr>
          <w:rFonts w:ascii="Times New Roman" w:eastAsia="Times New Roman" w:hAnsi="Times New Roman" w:cs="Times New Roman"/>
          <w:sz w:val="24"/>
          <w:szCs w:val="24"/>
          <w:vertAlign w:val="subscript"/>
          <w:lang w:eastAsia="lt-LT"/>
        </w:rPr>
        <w:t>naujausias</w:t>
      </w:r>
      <w:proofErr w:type="spellEnd"/>
      <w:r w:rsidRPr="007D1649">
        <w:rPr>
          <w:rFonts w:ascii="Times New Roman" w:eastAsia="Times New Roman" w:hAnsi="Times New Roman" w:cs="Times New Roman"/>
          <w:sz w:val="24"/>
          <w:szCs w:val="24"/>
          <w:lang w:eastAsia="lt-LT"/>
        </w:rPr>
        <w:t xml:space="preserve"> – kreipimosi dėl kainos perskaičiavimo išsiuntimo kitai šaliai datą naujausias paskelbtas importuotų prekių indeksas (C PAGAMINTI PRODUKTAI);</w:t>
      </w:r>
    </w:p>
    <w:p w:rsidR="007D1649" w:rsidRPr="007D1649" w:rsidRDefault="007D1649" w:rsidP="007D1649">
      <w:pPr>
        <w:spacing w:after="0" w:line="240" w:lineRule="auto"/>
        <w:jc w:val="both"/>
        <w:rPr>
          <w:rFonts w:ascii="Times New Roman" w:eastAsia="Times New Roman" w:hAnsi="Times New Roman" w:cs="Times New Roman"/>
          <w:sz w:val="24"/>
          <w:szCs w:val="24"/>
          <w:lang w:eastAsia="lt-LT"/>
        </w:rPr>
      </w:pPr>
      <w:proofErr w:type="spellStart"/>
      <w:r w:rsidRPr="007D1649">
        <w:rPr>
          <w:rFonts w:ascii="Times New Roman" w:eastAsia="Times New Roman" w:hAnsi="Times New Roman" w:cs="Times New Roman"/>
          <w:sz w:val="24"/>
          <w:szCs w:val="24"/>
          <w:lang w:eastAsia="lt-LT"/>
        </w:rPr>
        <w:t>Ind</w:t>
      </w:r>
      <w:r w:rsidRPr="007D1649">
        <w:rPr>
          <w:rFonts w:ascii="Times New Roman" w:eastAsia="Times New Roman" w:hAnsi="Times New Roman" w:cs="Times New Roman"/>
          <w:sz w:val="24"/>
          <w:szCs w:val="24"/>
          <w:vertAlign w:val="subscript"/>
          <w:lang w:eastAsia="lt-LT"/>
        </w:rPr>
        <w:t>pradžia</w:t>
      </w:r>
      <w:proofErr w:type="spellEnd"/>
      <w:r w:rsidRPr="007D1649">
        <w:rPr>
          <w:rFonts w:ascii="Times New Roman" w:eastAsia="Times New Roman" w:hAnsi="Times New Roman" w:cs="Times New Roman"/>
          <w:sz w:val="24"/>
          <w:szCs w:val="24"/>
          <w:lang w:eastAsia="lt-LT"/>
        </w:rPr>
        <w:t xml:space="preserve"> – laikotarpio pradžios datos (mėnesio) importuotų prekių indeksas </w:t>
      </w:r>
      <w:r w:rsidRPr="007D1649">
        <w:rPr>
          <w:rFonts w:ascii="Times New Roman" w:eastAsia="Times New Roman" w:hAnsi="Times New Roman" w:cs="Times New Roman"/>
          <w:iCs/>
          <w:sz w:val="24"/>
          <w:szCs w:val="24"/>
          <w:lang w:eastAsia="lt-LT"/>
        </w:rPr>
        <w:t>(C PAGAMINTI PRODUKTAI)</w:t>
      </w:r>
      <w:r w:rsidRPr="007D1649">
        <w:rPr>
          <w:rFonts w:ascii="Times New Roman" w:eastAsia="Times New Roman" w:hAnsi="Times New Roman" w:cs="Times New Roman"/>
          <w:sz w:val="24"/>
          <w:szCs w:val="24"/>
          <w:lang w:eastAsia="lt-LT"/>
        </w:rPr>
        <w:t xml:space="preserve">. Pirmojo perskaičiavimo atveju laikotarpio pradžia (mėnuo) yra Sutarties sudarymo mėnuo. Antrojo ir vėlesnių perskaičiavimų atveju laikotarpio pradžia (mėnuo) yra paskutinio perskaičiavimo metu naudotos paskelbto atitinkamo indekso reikšmės mėnuo; </w:t>
      </w:r>
    </w:p>
    <w:p w:rsidR="007D1649" w:rsidRPr="007D1649" w:rsidRDefault="007D1649" w:rsidP="007D1649">
      <w:pPr>
        <w:spacing w:after="0" w:line="240" w:lineRule="auto"/>
        <w:jc w:val="both"/>
        <w:rPr>
          <w:rFonts w:ascii="Times New Roman" w:eastAsia="Times New Roman" w:hAnsi="Times New Roman" w:cs="Times New Roman"/>
          <w:sz w:val="24"/>
          <w:szCs w:val="24"/>
          <w:lang w:eastAsia="lt-LT"/>
        </w:rPr>
      </w:pPr>
      <w:r w:rsidRPr="007D1649">
        <w:rPr>
          <w:rFonts w:ascii="Times New Roman" w:eastAsia="Times New Roman" w:hAnsi="Times New Roman" w:cs="Times New Roman"/>
          <w:sz w:val="24"/>
          <w:szCs w:val="24"/>
          <w:lang w:eastAsia="lt-LT"/>
        </w:rPr>
        <w:t xml:space="preserve">3. Skaičiavimams indeksų reikšmės imamos </w:t>
      </w:r>
      <w:r w:rsidRPr="007D1649">
        <w:rPr>
          <w:rFonts w:ascii="Times New Roman" w:eastAsia="Times New Roman" w:hAnsi="Times New Roman" w:cs="Times New Roman"/>
          <w:b/>
          <w:bCs/>
          <w:sz w:val="24"/>
          <w:szCs w:val="24"/>
          <w:lang w:eastAsia="lt-LT"/>
        </w:rPr>
        <w:t>keturių</w:t>
      </w:r>
      <w:r w:rsidRPr="007D1649">
        <w:rPr>
          <w:rFonts w:ascii="Times New Roman" w:eastAsia="Times New Roman" w:hAnsi="Times New Roman" w:cs="Times New Roman"/>
          <w:sz w:val="24"/>
          <w:szCs w:val="24"/>
          <w:lang w:eastAsia="lt-LT"/>
        </w:rPr>
        <w:t xml:space="preserve"> skaitmenų po kablelio tikslumu. Apskaičiuotas pokytis (k) tolimesniems skaičiavimams naudojamas suapvalinus iki </w:t>
      </w:r>
      <w:r w:rsidRPr="007D1649">
        <w:rPr>
          <w:rFonts w:ascii="Times New Roman" w:eastAsia="Times New Roman" w:hAnsi="Times New Roman" w:cs="Times New Roman"/>
          <w:b/>
          <w:bCs/>
          <w:sz w:val="24"/>
          <w:szCs w:val="24"/>
          <w:lang w:eastAsia="lt-LT"/>
        </w:rPr>
        <w:lastRenderedPageBreak/>
        <w:t>vieno</w:t>
      </w:r>
      <w:r w:rsidRPr="007D1649">
        <w:rPr>
          <w:rFonts w:ascii="Times New Roman" w:eastAsia="Times New Roman" w:hAnsi="Times New Roman" w:cs="Times New Roman"/>
          <w:sz w:val="24"/>
          <w:szCs w:val="24"/>
          <w:lang w:eastAsia="lt-LT"/>
        </w:rPr>
        <w:t xml:space="preserve"> skaitmens po kablelio, o apskaičiuotas įkainis „a“ suapvalinamas iki </w:t>
      </w:r>
      <w:r w:rsidRPr="007D1649">
        <w:rPr>
          <w:rFonts w:ascii="Times New Roman" w:eastAsia="Times New Roman" w:hAnsi="Times New Roman" w:cs="Times New Roman"/>
          <w:b/>
          <w:bCs/>
          <w:sz w:val="24"/>
          <w:szCs w:val="24"/>
          <w:lang w:eastAsia="lt-LT"/>
        </w:rPr>
        <w:t xml:space="preserve">dviejų </w:t>
      </w:r>
      <w:r w:rsidRPr="007D1649">
        <w:rPr>
          <w:rFonts w:ascii="Times New Roman" w:eastAsia="Times New Roman" w:hAnsi="Times New Roman" w:cs="Times New Roman"/>
          <w:sz w:val="24"/>
          <w:szCs w:val="24"/>
          <w:lang w:eastAsia="lt-LT"/>
        </w:rPr>
        <w:t xml:space="preserve">skaitmenų po kablelio; </w:t>
      </w:r>
    </w:p>
    <w:p w:rsidR="007D1649" w:rsidRPr="007D1649" w:rsidRDefault="007D1649" w:rsidP="007D1649">
      <w:pPr>
        <w:spacing w:after="0" w:line="240" w:lineRule="auto"/>
        <w:jc w:val="both"/>
        <w:rPr>
          <w:rFonts w:ascii="Times New Roman" w:eastAsia="Times New Roman" w:hAnsi="Times New Roman" w:cs="Times New Roman"/>
          <w:sz w:val="24"/>
          <w:szCs w:val="24"/>
          <w:lang w:eastAsia="lt-LT"/>
        </w:rPr>
      </w:pPr>
      <w:r w:rsidRPr="007D1649">
        <w:rPr>
          <w:rFonts w:ascii="Times New Roman" w:eastAsia="Times New Roman" w:hAnsi="Times New Roman" w:cs="Times New Roman"/>
          <w:sz w:val="24"/>
          <w:szCs w:val="24"/>
          <w:lang w:eastAsia="lt-LT"/>
        </w:rPr>
        <w:t xml:space="preserve">4. Vėlesnis įkainių perskaičiavimas negali apimti laikotarpio, už kurį jau buvo atliktas perskaičiavimas. </w:t>
      </w:r>
    </w:p>
    <w:p w:rsidR="007D1649" w:rsidRPr="007D1649" w:rsidRDefault="007D1649" w:rsidP="007D1649">
      <w:pPr>
        <w:spacing w:after="0" w:line="240" w:lineRule="auto"/>
        <w:rPr>
          <w:rFonts w:ascii="Times New Roman" w:eastAsia="Times New Roman" w:hAnsi="Times New Roman" w:cs="Times New Roman"/>
          <w:sz w:val="24"/>
          <w:szCs w:val="24"/>
          <w:lang w:eastAsia="lt-LT"/>
        </w:rPr>
      </w:pPr>
      <w:r w:rsidRPr="007D1649">
        <w:rPr>
          <w:rFonts w:ascii="Times New Roman" w:eastAsia="Times New Roman" w:hAnsi="Times New Roman" w:cs="Times New Roman"/>
          <w:sz w:val="24"/>
          <w:szCs w:val="24"/>
          <w:lang w:eastAsia="lt-LT"/>
        </w:rPr>
        <w:t>5. Jeigu pagal Suderintą vartotojų kainų indeksą apskaičiuotas Importuotų prekių kainų pokytis (k), apskaičiuotas kaip nustatyta 2.1. punkte, viršija 30 procentų nuo pradinio sutarties įkainio sutarties pasirašymo dieną, prekės įkainiai bus perskaičiuojami maksimaliu 30 procentų pokyčiu.</w:t>
      </w:r>
    </w:p>
    <w:p w:rsidR="007D1649" w:rsidRPr="007D1649" w:rsidRDefault="007D1649" w:rsidP="007D1649">
      <w:p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7D1649">
        <w:rPr>
          <w:rFonts w:ascii="Times New Roman" w:eastAsia="Times New Roman" w:hAnsi="Times New Roman" w:cs="Times New Roman"/>
          <w:sz w:val="24"/>
          <w:szCs w:val="24"/>
          <w:lang w:eastAsia="lt-LT"/>
        </w:rPr>
        <w:t xml:space="preserve">6. </w:t>
      </w:r>
      <w:r w:rsidRPr="007D1649">
        <w:rPr>
          <w:rFonts w:ascii="TimesNewRomanPSMT" w:eastAsia="Times New Roman" w:hAnsi="TimesNewRomanPSMT" w:cs="TimesNewRomanPSMT"/>
          <w:sz w:val="24"/>
          <w:szCs w:val="24"/>
          <w:lang w:eastAsia="lt-LT"/>
        </w:rPr>
        <w:t>Jei Sutarties kaina buvo peržiūrėta pagal Sutartyje nurodytas kainų peržiūros sąlygas, atitinkamai patikslinama (didėja arba mažėja) pradinė sutarties vertė.</w:t>
      </w:r>
    </w:p>
    <w:p w:rsidR="007D1649" w:rsidRPr="007D1649" w:rsidRDefault="007D1649" w:rsidP="007D1649">
      <w:pPr>
        <w:tabs>
          <w:tab w:val="left" w:pos="7455"/>
        </w:tabs>
        <w:spacing w:after="0" w:line="240" w:lineRule="auto"/>
        <w:rPr>
          <w:rFonts w:ascii="Times New Roman" w:eastAsia="Times New Roman" w:hAnsi="Times New Roman" w:cs="Times New Roman"/>
          <w:sz w:val="24"/>
          <w:szCs w:val="24"/>
          <w:lang w:eastAsia="lt-LT"/>
        </w:rPr>
      </w:pPr>
      <w:r w:rsidRPr="007D1649">
        <w:rPr>
          <w:rFonts w:ascii="Times New Roman" w:eastAsia="Times New Roman" w:hAnsi="Times New Roman" w:cs="Times New Roman"/>
          <w:sz w:val="24"/>
          <w:szCs w:val="24"/>
          <w:lang w:eastAsia="lt-LT"/>
        </w:rPr>
        <w:t xml:space="preserve">                                    </w:t>
      </w:r>
    </w:p>
    <w:p w:rsidR="00A75553" w:rsidRDefault="00A75553"/>
    <w:sectPr w:rsidR="00A75553" w:rsidSect="0098779F">
      <w:pgSz w:w="16838" w:h="11906" w:orient="landscape" w:code="9"/>
      <w:pgMar w:top="993" w:right="1134" w:bottom="992" w:left="1134" w:header="567" w:footer="567" w:gutter="0"/>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49"/>
    <w:rsid w:val="007D1649"/>
    <w:rsid w:val="00947597"/>
    <w:rsid w:val="00A75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D7F8"/>
  <w15:chartTrackingRefBased/>
  <w15:docId w15:val="{41959130-6781-46E6-AF3C-C13C6AF9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ITT prie KAM</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2024-10-31T06:32:00Z</dcterms:created>
  <dcterms:modified xsi:type="dcterms:W3CDTF">2024-10-31T06:32:00Z</dcterms:modified>
</cp:coreProperties>
</file>