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71E67" w14:textId="1001A32F" w:rsidR="00063D11" w:rsidRPr="00687B9A" w:rsidRDefault="00063D11" w:rsidP="00063D11">
      <w:pPr>
        <w:jc w:val="right"/>
        <w:rPr>
          <w:b/>
          <w:lang w:val="lt-LT"/>
        </w:rPr>
      </w:pPr>
      <w:bookmarkStart w:id="0" w:name="_GoBack"/>
      <w:bookmarkEnd w:id="0"/>
      <w:r w:rsidRPr="00687B9A">
        <w:rPr>
          <w:b/>
          <w:lang w:val="lt-LT"/>
        </w:rPr>
        <w:t>2 priedo 4 dalis</w:t>
      </w:r>
    </w:p>
    <w:p w14:paraId="040E89EF" w14:textId="64CEA043" w:rsidR="00063D11" w:rsidRPr="00687B9A" w:rsidRDefault="00063D11" w:rsidP="00A06D23">
      <w:pPr>
        <w:jc w:val="center"/>
        <w:rPr>
          <w:b/>
          <w:lang w:val="lt-LT"/>
        </w:rPr>
      </w:pPr>
      <w:r w:rsidRPr="00687B9A">
        <w:rPr>
          <w:b/>
          <w:lang w:val="lt-LT"/>
        </w:rPr>
        <w:t>4 PIRKIMO DALIS MINKŠTI BALDAI</w:t>
      </w:r>
    </w:p>
    <w:p w14:paraId="24892990" w14:textId="7DDADFB8" w:rsidR="00A06D23" w:rsidRPr="00687B9A" w:rsidRDefault="00A06D23" w:rsidP="00A06D23">
      <w:pPr>
        <w:jc w:val="center"/>
        <w:rPr>
          <w:b/>
          <w:lang w:val="lt-LT"/>
        </w:rPr>
      </w:pPr>
      <w:r w:rsidRPr="00687B9A">
        <w:rPr>
          <w:b/>
          <w:lang w:val="lt-LT"/>
        </w:rPr>
        <w:t>TECHNINĖ SPECIFIKACIJA</w:t>
      </w:r>
      <w:r w:rsidR="00EC3A34" w:rsidRPr="00687B9A">
        <w:rPr>
          <w:b/>
          <w:lang w:val="lt-LT"/>
        </w:rPr>
        <w:t xml:space="preserve"> </w:t>
      </w:r>
    </w:p>
    <w:p w14:paraId="485C0D9F" w14:textId="77777777" w:rsidR="00687B9A" w:rsidRPr="00687B9A" w:rsidRDefault="00687B9A" w:rsidP="00687B9A">
      <w:pPr>
        <w:ind w:left="284" w:firstLine="1134"/>
        <w:jc w:val="both"/>
        <w:rPr>
          <w:rFonts w:eastAsia="Calibri"/>
          <w:lang w:val="lt-LT"/>
        </w:rPr>
      </w:pPr>
      <w:r w:rsidRPr="00687B9A">
        <w:rPr>
          <w:rFonts w:eastAsia="Calibri"/>
          <w:lang w:val="lt-LT"/>
        </w:rPr>
        <w:t>Perkami šioje techninėje specifikacijoje aprašyti baldai turi būti nauji, nenaudoti.</w:t>
      </w:r>
    </w:p>
    <w:p w14:paraId="0E836BED" w14:textId="3CA34CDA" w:rsidR="00687B9A" w:rsidRDefault="00687B9A" w:rsidP="00687B9A">
      <w:pPr>
        <w:ind w:left="284" w:firstLine="1134"/>
        <w:jc w:val="both"/>
        <w:rPr>
          <w:rFonts w:eastAsia="Calibri"/>
          <w:lang w:val="lt-LT"/>
        </w:rPr>
      </w:pPr>
      <w:r w:rsidRPr="00687B9A">
        <w:rPr>
          <w:rFonts w:eastAsia="Calibri"/>
          <w:noProof/>
          <w:lang w:val="lt-LT"/>
        </w:rPr>
        <w:t>Baldai turi atitikti „Aplinkos apsaugos kriterijų, kuriuos perkančiosios organizacijos ir perkantieji subjektai turi taikyti pirkdamos prekes, paslaugas ar darbus, taikymo tvarkos aprašo“, patvirtinto Lietuvos Respublikos aplinkos ministro 2011 m. birželio 28 d. įsakymu Nr. D1-508 „Dėl aplinkos apsaugos kriterijų taikymo, vykdant žaliuosius pirkimus,  tvarkos aprašo patvirtinimo“ 2 priedo „minimalūs aplinkos apsaugos kriterijai“ VII skyriuje „Baldai“ nustatytus minimalius aplinkos apsaugos kriterijus,  kurie taikomi konkrečiam baldui aprašytam šios techninės specifikacijos 2 punkte, arba atitikti jiems nustatytus I tipo ekologinio ženklo reikalavimus pagal standartą LST EN ISO 14024 „Aplinkosauginiai ženklai ir aplinkosauginės deklaracijos. I tipo aplinkosauginis ženklinimas. Principai ir procedūros“ ir būti paženklinti I tipo ekologiniu ženklu arba kitu tiekėjo pateiktu lygiaverčiu įrodymu (pvz., EU Ecolabel, Nordic Swan, Blue Angel, El Distintiu, Milieukeur, Österreichisches Umweltzeichen, NF Environnement, The Hungarian Eco-label, Polish Eco Mark-Znak EKO arba kitu I tipo ekologiniu</w:t>
      </w:r>
      <w:r w:rsidRPr="00687B9A">
        <w:rPr>
          <w:rFonts w:eastAsia="Calibri"/>
          <w:lang w:val="lt-LT"/>
        </w:rPr>
        <w:t xml:space="preserve"> ženklu.</w:t>
      </w:r>
    </w:p>
    <w:p w14:paraId="5FC81964" w14:textId="4F6C7F80" w:rsidR="00447DD4" w:rsidRPr="00447DD4" w:rsidRDefault="00447DD4" w:rsidP="00687B9A">
      <w:pPr>
        <w:ind w:left="284" w:firstLine="1134"/>
        <w:jc w:val="both"/>
        <w:rPr>
          <w:rFonts w:eastAsia="Calibri"/>
          <w:lang w:val="lt-LT"/>
        </w:rPr>
      </w:pPr>
      <w:r w:rsidRPr="00447DD4">
        <w:rPr>
          <w:b/>
          <w:bCs/>
          <w:lang w:val="lt-LT"/>
        </w:rPr>
        <w:t xml:space="preserve">Tiekėjas, kuris bus pripažintas galimu laimėtoju, turi pateikti </w:t>
      </w:r>
      <w:r w:rsidRPr="00447DD4">
        <w:rPr>
          <w:b/>
          <w:spacing w:val="7"/>
          <w:shd w:val="clear" w:color="auto" w:fill="FFFFFF"/>
          <w:lang w:val="lt-LT"/>
        </w:rPr>
        <w:t>sertifikatą ar kitą dokumentą,</w:t>
      </w:r>
      <w:r w:rsidRPr="00447DD4">
        <w:rPr>
          <w:spacing w:val="7"/>
          <w:shd w:val="clear" w:color="auto" w:fill="FFFFFF"/>
          <w:lang w:val="lt-LT"/>
        </w:rPr>
        <w:t xml:space="preserve"> kuris patvirtina, kad baldinis audinys atitinka tarptautinį ekologinį standartą OEKO-TEX arba lygiavertį standartą.</w:t>
      </w:r>
    </w:p>
    <w:p w14:paraId="62D00A6F" w14:textId="1499F496" w:rsidR="00687B9A" w:rsidRPr="00687B9A" w:rsidRDefault="00687B9A" w:rsidP="00687B9A">
      <w:pPr>
        <w:ind w:left="284" w:firstLine="1134"/>
        <w:jc w:val="both"/>
        <w:rPr>
          <w:b/>
          <w:lang w:val="lt-LT"/>
        </w:rPr>
      </w:pPr>
      <w:r w:rsidRPr="00687B9A">
        <w:rPr>
          <w:b/>
          <w:color w:val="FF0000"/>
          <w:lang w:val="lt-LT"/>
        </w:rPr>
        <w:t xml:space="preserve">Tiekėjas, pripažintas galimu laimėtoju, turės pateikti užpildytą deklaraciją dėl baldų atitikties aplinkosaugos kriterijams </w:t>
      </w:r>
      <w:r w:rsidR="00CF0FBF">
        <w:rPr>
          <w:b/>
          <w:color w:val="FF0000"/>
          <w:lang w:val="lt-LT"/>
        </w:rPr>
        <w:t xml:space="preserve">(pirkimo dokumentų 12 priedas) </w:t>
      </w:r>
      <w:r w:rsidRPr="00687B9A">
        <w:rPr>
          <w:b/>
          <w:color w:val="FF0000"/>
          <w:lang w:val="lt-LT"/>
        </w:rPr>
        <w:t>bei pateikti atitiktį įrodančius dokumentus.</w:t>
      </w:r>
    </w:p>
    <w:tbl>
      <w:tblPr>
        <w:tblStyle w:val="TableGrid"/>
        <w:tblW w:w="13462" w:type="dxa"/>
        <w:tblLook w:val="04A0" w:firstRow="1" w:lastRow="0" w:firstColumn="1" w:lastColumn="0" w:noHBand="0" w:noVBand="1"/>
      </w:tblPr>
      <w:tblGrid>
        <w:gridCol w:w="654"/>
        <w:gridCol w:w="11053"/>
        <w:gridCol w:w="763"/>
        <w:gridCol w:w="992"/>
      </w:tblGrid>
      <w:tr w:rsidR="00063D11" w:rsidRPr="00687B9A" w14:paraId="603D0236" w14:textId="77777777" w:rsidTr="00063D11">
        <w:trPr>
          <w:trHeight w:val="850"/>
        </w:trPr>
        <w:tc>
          <w:tcPr>
            <w:tcW w:w="654" w:type="dxa"/>
            <w:tcBorders>
              <w:top w:val="single" w:sz="4" w:space="0" w:color="auto"/>
              <w:left w:val="single" w:sz="4" w:space="0" w:color="auto"/>
            </w:tcBorders>
            <w:vAlign w:val="center"/>
          </w:tcPr>
          <w:p w14:paraId="3F10BF2F" w14:textId="3FD404C7" w:rsidR="00063D11" w:rsidRPr="00687B9A" w:rsidRDefault="00063D11" w:rsidP="00A06D23">
            <w:pPr>
              <w:jc w:val="center"/>
              <w:rPr>
                <w:b/>
                <w:lang w:val="lt-LT"/>
              </w:rPr>
            </w:pPr>
            <w:r w:rsidRPr="00687B9A">
              <w:rPr>
                <w:b/>
                <w:lang w:val="lt-LT"/>
              </w:rPr>
              <w:t>Eil. Nr.</w:t>
            </w:r>
          </w:p>
        </w:tc>
        <w:tc>
          <w:tcPr>
            <w:tcW w:w="11053" w:type="dxa"/>
            <w:tcBorders>
              <w:top w:val="single" w:sz="4" w:space="0" w:color="auto"/>
            </w:tcBorders>
            <w:vAlign w:val="center"/>
          </w:tcPr>
          <w:p w14:paraId="008337E3" w14:textId="6A3087A1" w:rsidR="00063D11" w:rsidRPr="00687B9A" w:rsidRDefault="00063D11" w:rsidP="00A06D23">
            <w:pPr>
              <w:jc w:val="center"/>
              <w:rPr>
                <w:b/>
                <w:lang w:val="lt-LT"/>
              </w:rPr>
            </w:pPr>
            <w:r w:rsidRPr="00687B9A">
              <w:rPr>
                <w:rStyle w:val="normaltextrun1"/>
                <w:b/>
                <w:bCs/>
                <w:lang w:val="lt-LT"/>
              </w:rPr>
              <w:t>Prekių pavadinimai ir reikalaujami parametrai</w:t>
            </w:r>
          </w:p>
        </w:tc>
        <w:tc>
          <w:tcPr>
            <w:tcW w:w="763" w:type="dxa"/>
            <w:tcBorders>
              <w:top w:val="single" w:sz="4" w:space="0" w:color="auto"/>
            </w:tcBorders>
            <w:vAlign w:val="center"/>
          </w:tcPr>
          <w:p w14:paraId="4503A05C" w14:textId="683E5A0A" w:rsidR="00063D11" w:rsidRPr="00687B9A" w:rsidRDefault="00063D11" w:rsidP="00A06D23">
            <w:pPr>
              <w:jc w:val="center"/>
              <w:rPr>
                <w:b/>
                <w:lang w:val="lt-LT"/>
              </w:rPr>
            </w:pPr>
            <w:r w:rsidRPr="00687B9A">
              <w:rPr>
                <w:b/>
                <w:lang w:val="lt-LT"/>
              </w:rPr>
              <w:t>Mato vnt.</w:t>
            </w:r>
          </w:p>
        </w:tc>
        <w:tc>
          <w:tcPr>
            <w:tcW w:w="992" w:type="dxa"/>
            <w:tcBorders>
              <w:top w:val="single" w:sz="4" w:space="0" w:color="auto"/>
            </w:tcBorders>
            <w:vAlign w:val="center"/>
          </w:tcPr>
          <w:p w14:paraId="372BB94C" w14:textId="5852E311" w:rsidR="00063D11" w:rsidRPr="00687B9A" w:rsidRDefault="00063D11" w:rsidP="00A06D23">
            <w:pPr>
              <w:jc w:val="center"/>
              <w:rPr>
                <w:b/>
                <w:lang w:val="lt-LT"/>
              </w:rPr>
            </w:pPr>
            <w:r w:rsidRPr="00687B9A">
              <w:rPr>
                <w:b/>
                <w:lang w:val="lt-LT"/>
              </w:rPr>
              <w:t>Kiekis</w:t>
            </w:r>
          </w:p>
        </w:tc>
      </w:tr>
      <w:tr w:rsidR="00063D11" w:rsidRPr="00687B9A" w14:paraId="6D66F13C" w14:textId="77777777" w:rsidTr="00CC0742">
        <w:tc>
          <w:tcPr>
            <w:tcW w:w="13462" w:type="dxa"/>
            <w:gridSpan w:val="4"/>
            <w:tcBorders>
              <w:left w:val="single" w:sz="4" w:space="0" w:color="auto"/>
              <w:bottom w:val="single" w:sz="4" w:space="0" w:color="auto"/>
            </w:tcBorders>
          </w:tcPr>
          <w:p w14:paraId="4E8ADFC3" w14:textId="3F368F5B" w:rsidR="00063D11" w:rsidRPr="00687B9A" w:rsidRDefault="00063D11" w:rsidP="00A06D23">
            <w:pPr>
              <w:jc w:val="center"/>
              <w:rPr>
                <w:b/>
                <w:lang w:val="lt-LT"/>
              </w:rPr>
            </w:pPr>
            <w:r w:rsidRPr="00687B9A">
              <w:rPr>
                <w:b/>
                <w:lang w:val="lt-LT"/>
              </w:rPr>
              <w:t>Elektronikos ir informatikos fakultetas (J. Jasinskio g. 15, Vilnius)</w:t>
            </w:r>
          </w:p>
        </w:tc>
      </w:tr>
      <w:tr w:rsidR="00063D11" w:rsidRPr="00687B9A" w14:paraId="4F135B19" w14:textId="77777777" w:rsidTr="00063D11">
        <w:tc>
          <w:tcPr>
            <w:tcW w:w="654" w:type="dxa"/>
            <w:vAlign w:val="center"/>
          </w:tcPr>
          <w:p w14:paraId="60D8951C" w14:textId="7ECD4322" w:rsidR="00063D11" w:rsidRPr="00687B9A" w:rsidRDefault="00063D11" w:rsidP="000E7D58">
            <w:pPr>
              <w:jc w:val="center"/>
              <w:rPr>
                <w:b/>
                <w:lang w:val="lt-LT"/>
              </w:rPr>
            </w:pPr>
            <w:r w:rsidRPr="00687B9A">
              <w:rPr>
                <w:b/>
                <w:lang w:val="lt-LT"/>
              </w:rPr>
              <w:t>4.1.</w:t>
            </w:r>
          </w:p>
        </w:tc>
        <w:tc>
          <w:tcPr>
            <w:tcW w:w="11053" w:type="dxa"/>
            <w:vAlign w:val="center"/>
          </w:tcPr>
          <w:p w14:paraId="066BF21B" w14:textId="77777777" w:rsidR="00063D11" w:rsidRPr="00687B9A" w:rsidRDefault="00063D11" w:rsidP="003F0D0A">
            <w:pPr>
              <w:rPr>
                <w:rFonts w:eastAsia="Times New Roman"/>
                <w:lang w:val="lt-LT"/>
              </w:rPr>
            </w:pPr>
            <w:r w:rsidRPr="00687B9A">
              <w:rPr>
                <w:rFonts w:eastAsia="Times New Roman"/>
                <w:b/>
                <w:lang w:val="lt-LT"/>
              </w:rPr>
              <w:t>Minkštasuolis be atlošo</w:t>
            </w:r>
            <w:r w:rsidRPr="00687B9A">
              <w:rPr>
                <w:rFonts w:eastAsia="Times New Roman"/>
                <w:lang w:val="lt-LT"/>
              </w:rPr>
              <w:t xml:space="preserve"> </w:t>
            </w:r>
            <w:r w:rsidRPr="00687B9A">
              <w:rPr>
                <w:rFonts w:eastAsia="Times New Roman"/>
                <w:b/>
                <w:lang w:val="lt-LT"/>
              </w:rPr>
              <w:t>EIF</w:t>
            </w:r>
            <w:r w:rsidRPr="00687B9A">
              <w:rPr>
                <w:rFonts w:eastAsia="Times New Roman"/>
                <w:lang w:val="lt-LT"/>
              </w:rPr>
              <w:t xml:space="preserve"> </w:t>
            </w:r>
          </w:p>
          <w:p w14:paraId="6C923E02" w14:textId="35DE41B3" w:rsidR="00063D11" w:rsidRPr="00687B9A" w:rsidRDefault="00063D11" w:rsidP="00A94166">
            <w:pPr>
              <w:jc w:val="both"/>
              <w:rPr>
                <w:rFonts w:eastAsia="Times New Roman"/>
                <w:lang w:val="lt-LT"/>
              </w:rPr>
            </w:pPr>
            <w:r w:rsidRPr="00687B9A">
              <w:rPr>
                <w:rFonts w:eastAsia="Times New Roman"/>
                <w:lang w:val="lt-LT"/>
              </w:rPr>
              <w:t>Minkštasuolis turi būti trapecijos formos, be atlošo. Minkštasuolio matmenys ne mažesni nei: plotis išorinės dalies 800mm, vidinės dalies 500mm, gylis 720mm, aukštis iki sėdimos dalies – 430mm.</w:t>
            </w:r>
          </w:p>
          <w:p w14:paraId="5C19943F" w14:textId="61DCFA8E" w:rsidR="00063D11" w:rsidRPr="00687B9A" w:rsidRDefault="00063D11" w:rsidP="00A94166">
            <w:pPr>
              <w:jc w:val="both"/>
              <w:rPr>
                <w:rFonts w:eastAsia="Times New Roman"/>
                <w:lang w:val="lt-LT"/>
              </w:rPr>
            </w:pPr>
            <w:r w:rsidRPr="00687B9A">
              <w:rPr>
                <w:rFonts w:eastAsia="Times New Roman"/>
                <w:lang w:val="lt-LT"/>
              </w:rPr>
              <w:t xml:space="preserve">Baldas turi būti pagamintas iš ne prastesnės medžiagos nei baldinė fanera bei mediena. Baldo sėdimosios dalies viršus ir dugnas pilnaviduriai, iš ne mažiau 12mm storio faneros, baldo šonai iš ne mažiau 3mm storio faneros, sustiprintos mediena. Baldas turi būti paminkštintas aukšto tankio porolonu – ne mažiau 42kg/m3 sėdimoji dalis ir ne mažiau 35kg/m3 šonai bei aptrauktas </w:t>
            </w:r>
            <w:proofErr w:type="spellStart"/>
            <w:r w:rsidRPr="00687B9A">
              <w:rPr>
                <w:rFonts w:eastAsia="Times New Roman"/>
                <w:lang w:val="lt-LT"/>
              </w:rPr>
              <w:t>ekooda</w:t>
            </w:r>
            <w:proofErr w:type="spellEnd"/>
            <w:r w:rsidRPr="00687B9A">
              <w:rPr>
                <w:rFonts w:eastAsia="Times New Roman"/>
                <w:lang w:val="lt-LT"/>
              </w:rPr>
              <w:t xml:space="preserve"> ar </w:t>
            </w:r>
            <w:r w:rsidRPr="00B50DCE">
              <w:rPr>
                <w:rFonts w:eastAsia="Times New Roman"/>
                <w:lang w:val="lt-LT"/>
              </w:rPr>
              <w:t xml:space="preserve">gobelenu (trynimo ciklai pagal </w:t>
            </w:r>
            <w:proofErr w:type="spellStart"/>
            <w:r w:rsidRPr="00B50DCE">
              <w:rPr>
                <w:rFonts w:eastAsia="Times New Roman"/>
                <w:lang w:val="lt-LT"/>
              </w:rPr>
              <w:t>Martindale</w:t>
            </w:r>
            <w:proofErr w:type="spellEnd"/>
            <w:r w:rsidRPr="00B50DCE">
              <w:rPr>
                <w:rFonts w:eastAsia="Times New Roman"/>
                <w:lang w:val="lt-LT"/>
              </w:rPr>
              <w:t xml:space="preserve"> arba analogišką skalę turi būti ne mažiau 100 000 ciklų). </w:t>
            </w:r>
            <w:proofErr w:type="spellStart"/>
            <w:r w:rsidR="004463CF" w:rsidRPr="00B50DCE">
              <w:rPr>
                <w:b/>
              </w:rPr>
              <w:t>Tiekėjas</w:t>
            </w:r>
            <w:proofErr w:type="spellEnd"/>
            <w:r w:rsidR="004463CF" w:rsidRPr="00B50DCE">
              <w:rPr>
                <w:b/>
              </w:rPr>
              <w:t xml:space="preserve">, </w:t>
            </w:r>
            <w:proofErr w:type="spellStart"/>
            <w:r w:rsidR="004463CF" w:rsidRPr="00B50DCE">
              <w:rPr>
                <w:b/>
              </w:rPr>
              <w:t>pripažintas</w:t>
            </w:r>
            <w:proofErr w:type="spellEnd"/>
            <w:r w:rsidR="004463CF" w:rsidRPr="00B50DCE">
              <w:rPr>
                <w:b/>
              </w:rPr>
              <w:t xml:space="preserve"> </w:t>
            </w:r>
            <w:proofErr w:type="spellStart"/>
            <w:r w:rsidR="004463CF" w:rsidRPr="00B50DCE">
              <w:rPr>
                <w:b/>
              </w:rPr>
              <w:t>galimu</w:t>
            </w:r>
            <w:proofErr w:type="spellEnd"/>
            <w:r w:rsidR="004463CF" w:rsidRPr="00B50DCE">
              <w:rPr>
                <w:b/>
              </w:rPr>
              <w:t xml:space="preserve"> </w:t>
            </w:r>
            <w:proofErr w:type="spellStart"/>
            <w:r w:rsidR="004463CF" w:rsidRPr="00B50DCE">
              <w:rPr>
                <w:b/>
              </w:rPr>
              <w:t>laimėtoju</w:t>
            </w:r>
            <w:proofErr w:type="spellEnd"/>
            <w:r w:rsidR="004463CF" w:rsidRPr="00B50DCE">
              <w:rPr>
                <w:b/>
              </w:rPr>
              <w:t xml:space="preserve">, </w:t>
            </w:r>
            <w:proofErr w:type="spellStart"/>
            <w:r w:rsidR="004463CF" w:rsidRPr="00B50DCE">
              <w:rPr>
                <w:b/>
              </w:rPr>
              <w:t>privalo</w:t>
            </w:r>
            <w:proofErr w:type="spellEnd"/>
            <w:r w:rsidR="004463CF" w:rsidRPr="00B50DCE">
              <w:rPr>
                <w:b/>
              </w:rPr>
              <w:t xml:space="preserve"> </w:t>
            </w:r>
            <w:proofErr w:type="spellStart"/>
            <w:r w:rsidR="004463CF" w:rsidRPr="00B50DCE">
              <w:rPr>
                <w:b/>
              </w:rPr>
              <w:t>pateikti</w:t>
            </w:r>
            <w:proofErr w:type="spellEnd"/>
            <w:r w:rsidR="004463CF" w:rsidRPr="00B50DCE">
              <w:rPr>
                <w:b/>
              </w:rPr>
              <w:t xml:space="preserve"> </w:t>
            </w:r>
            <w:proofErr w:type="spellStart"/>
            <w:r w:rsidR="004463CF" w:rsidRPr="00B50DCE">
              <w:rPr>
                <w:b/>
              </w:rPr>
              <w:t>atitiktį</w:t>
            </w:r>
            <w:proofErr w:type="spellEnd"/>
            <w:r w:rsidR="004463CF" w:rsidRPr="00B50DCE">
              <w:rPr>
                <w:b/>
              </w:rPr>
              <w:t xml:space="preserve"> </w:t>
            </w:r>
            <w:proofErr w:type="spellStart"/>
            <w:r w:rsidR="004463CF" w:rsidRPr="00B50DCE">
              <w:rPr>
                <w:b/>
              </w:rPr>
              <w:t>reikalavimams</w:t>
            </w:r>
            <w:proofErr w:type="spellEnd"/>
            <w:r w:rsidR="004463CF" w:rsidRPr="00B50DCE">
              <w:rPr>
                <w:b/>
              </w:rPr>
              <w:t xml:space="preserve"> </w:t>
            </w:r>
            <w:proofErr w:type="spellStart"/>
            <w:r w:rsidR="004463CF" w:rsidRPr="00B50DCE">
              <w:rPr>
                <w:b/>
              </w:rPr>
              <w:t>įrodančius</w:t>
            </w:r>
            <w:proofErr w:type="spellEnd"/>
            <w:r w:rsidR="004463CF" w:rsidRPr="00B50DCE">
              <w:rPr>
                <w:b/>
              </w:rPr>
              <w:t xml:space="preserve"> </w:t>
            </w:r>
            <w:proofErr w:type="spellStart"/>
            <w:r w:rsidR="004463CF" w:rsidRPr="00B50DCE">
              <w:rPr>
                <w:b/>
              </w:rPr>
              <w:t>dokumentus</w:t>
            </w:r>
            <w:proofErr w:type="spellEnd"/>
            <w:r w:rsidR="004463CF" w:rsidRPr="00B50DCE">
              <w:rPr>
                <w:b/>
              </w:rPr>
              <w:t xml:space="preserve"> </w:t>
            </w:r>
            <w:proofErr w:type="spellStart"/>
            <w:r w:rsidR="004463CF" w:rsidRPr="00B50DCE">
              <w:rPr>
                <w:b/>
              </w:rPr>
              <w:t>t.y</w:t>
            </w:r>
            <w:proofErr w:type="spellEnd"/>
            <w:r w:rsidR="004463CF" w:rsidRPr="00B50DCE">
              <w:rPr>
                <w:b/>
              </w:rPr>
              <w:t>.</w:t>
            </w:r>
            <w:r w:rsidR="004463CF" w:rsidRPr="00B50DCE">
              <w:t xml:space="preserve"> </w:t>
            </w:r>
            <w:proofErr w:type="spellStart"/>
            <w:r w:rsidR="004463CF" w:rsidRPr="00B50DCE">
              <w:t>bandymų</w:t>
            </w:r>
            <w:proofErr w:type="spellEnd"/>
            <w:r w:rsidR="004463CF" w:rsidRPr="00B50DCE">
              <w:t xml:space="preserve"> </w:t>
            </w:r>
            <w:proofErr w:type="spellStart"/>
            <w:r w:rsidR="004463CF" w:rsidRPr="0024378B">
              <w:rPr>
                <w:color w:val="000000"/>
              </w:rPr>
              <w:t>protokolą</w:t>
            </w:r>
            <w:proofErr w:type="spellEnd"/>
            <w:r w:rsidR="004463CF">
              <w:rPr>
                <w:color w:val="000000"/>
              </w:rPr>
              <w:t xml:space="preserve"> </w:t>
            </w:r>
            <w:proofErr w:type="spellStart"/>
            <w:r w:rsidR="004463CF">
              <w:rPr>
                <w:color w:val="000000"/>
              </w:rPr>
              <w:t>ar</w:t>
            </w:r>
            <w:proofErr w:type="spellEnd"/>
            <w:r w:rsidR="004463CF">
              <w:rPr>
                <w:color w:val="000000"/>
              </w:rPr>
              <w:t xml:space="preserve"> </w:t>
            </w:r>
            <w:proofErr w:type="spellStart"/>
            <w:r w:rsidR="004463CF">
              <w:rPr>
                <w:color w:val="000000"/>
              </w:rPr>
              <w:t>kitą</w:t>
            </w:r>
            <w:proofErr w:type="spellEnd"/>
            <w:r w:rsidR="004463CF">
              <w:rPr>
                <w:color w:val="000000"/>
              </w:rPr>
              <w:t xml:space="preserve"> </w:t>
            </w:r>
            <w:proofErr w:type="spellStart"/>
            <w:r w:rsidR="004463CF">
              <w:rPr>
                <w:color w:val="000000"/>
              </w:rPr>
              <w:t>lygiavertį</w:t>
            </w:r>
            <w:proofErr w:type="spellEnd"/>
            <w:r w:rsidR="004463CF">
              <w:rPr>
                <w:color w:val="000000"/>
              </w:rPr>
              <w:t xml:space="preserve"> </w:t>
            </w:r>
            <w:proofErr w:type="spellStart"/>
            <w:r w:rsidR="004463CF">
              <w:rPr>
                <w:color w:val="000000"/>
              </w:rPr>
              <w:t>dokumentą</w:t>
            </w:r>
            <w:proofErr w:type="spellEnd"/>
            <w:r w:rsidR="004463CF">
              <w:rPr>
                <w:color w:val="000000"/>
              </w:rPr>
              <w:t>.</w:t>
            </w:r>
          </w:p>
          <w:p w14:paraId="0A062984" w14:textId="199EFD7F" w:rsidR="00063D11" w:rsidRPr="00687B9A" w:rsidRDefault="00063D11" w:rsidP="00A94166">
            <w:pPr>
              <w:jc w:val="both"/>
              <w:rPr>
                <w:rFonts w:eastAsia="Times New Roman"/>
                <w:lang w:val="lt-LT"/>
              </w:rPr>
            </w:pPr>
            <w:r w:rsidRPr="00687B9A">
              <w:rPr>
                <w:rFonts w:eastAsia="Times New Roman"/>
                <w:lang w:val="lt-LT"/>
              </w:rPr>
              <w:lastRenderedPageBreak/>
              <w:t>Baldas turi būti su ne mažiau 4 plastikinėmis kojelėmis, ne mažiau 25mm, ir kurių padas su apsauga nuo grindų braižymo.</w:t>
            </w:r>
          </w:p>
          <w:p w14:paraId="32563CA7" w14:textId="6D946BE0" w:rsidR="00063D11" w:rsidRPr="00687B9A" w:rsidRDefault="00063D11" w:rsidP="00A94166">
            <w:pPr>
              <w:jc w:val="both"/>
              <w:rPr>
                <w:rFonts w:eastAsia="Times New Roman"/>
                <w:lang w:val="lt-LT"/>
              </w:rPr>
            </w:pPr>
            <w:r w:rsidRPr="00687B9A">
              <w:rPr>
                <w:rFonts w:eastAsia="Times New Roman"/>
                <w:lang w:val="lt-LT"/>
              </w:rPr>
              <w:t>Baldo spalva turi būti derinama su užsakovu renkantis iš ne mažiau kaip 5 spalvų.</w:t>
            </w:r>
          </w:p>
          <w:p w14:paraId="3808928B" w14:textId="1A0E2675" w:rsidR="00063D11" w:rsidRPr="00687B9A" w:rsidRDefault="00063D11" w:rsidP="003F0D0A">
            <w:pPr>
              <w:rPr>
                <w:rFonts w:eastAsia="Times New Roman"/>
                <w:i/>
                <w:lang w:val="lt-LT"/>
              </w:rPr>
            </w:pPr>
            <w:r w:rsidRPr="00687B9A">
              <w:rPr>
                <w:rFonts w:eastAsia="Times New Roman"/>
                <w:i/>
                <w:lang w:val="lt-LT"/>
              </w:rPr>
              <w:t>Asociatyvi foto:</w:t>
            </w:r>
          </w:p>
          <w:p w14:paraId="6FDD4DC1" w14:textId="6CB77636" w:rsidR="00063D11" w:rsidRPr="00687B9A" w:rsidRDefault="00063D11" w:rsidP="00E872E5">
            <w:pPr>
              <w:jc w:val="both"/>
              <w:rPr>
                <w:b/>
                <w:lang w:val="lt-LT"/>
              </w:rPr>
            </w:pPr>
            <w:r w:rsidRPr="00687B9A">
              <w:rPr>
                <w:noProof/>
                <w:lang w:val="lt-LT"/>
              </w:rPr>
              <w:drawing>
                <wp:inline distT="0" distB="0" distL="0" distR="0" wp14:anchorId="553EE855" wp14:editId="4DBADC8F">
                  <wp:extent cx="1598958" cy="930303"/>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0364" cy="936939"/>
                          </a:xfrm>
                          <a:prstGeom prst="rect">
                            <a:avLst/>
                          </a:prstGeom>
                        </pic:spPr>
                      </pic:pic>
                    </a:graphicData>
                  </a:graphic>
                </wp:inline>
              </w:drawing>
            </w:r>
          </w:p>
        </w:tc>
        <w:tc>
          <w:tcPr>
            <w:tcW w:w="763" w:type="dxa"/>
            <w:vAlign w:val="center"/>
          </w:tcPr>
          <w:p w14:paraId="17FCC540" w14:textId="5E2AC82C" w:rsidR="00063D11" w:rsidRPr="00687B9A" w:rsidRDefault="00063D11" w:rsidP="000E7D58">
            <w:pPr>
              <w:jc w:val="center"/>
              <w:rPr>
                <w:lang w:val="lt-LT"/>
              </w:rPr>
            </w:pPr>
            <w:r w:rsidRPr="00687B9A">
              <w:rPr>
                <w:lang w:val="lt-LT"/>
              </w:rPr>
              <w:lastRenderedPageBreak/>
              <w:t>Vnt.</w:t>
            </w:r>
          </w:p>
        </w:tc>
        <w:tc>
          <w:tcPr>
            <w:tcW w:w="992" w:type="dxa"/>
            <w:vAlign w:val="center"/>
          </w:tcPr>
          <w:p w14:paraId="5727DD86" w14:textId="4BD6BBA8" w:rsidR="00063D11" w:rsidRPr="00687B9A" w:rsidRDefault="00063D11" w:rsidP="000E7D58">
            <w:pPr>
              <w:jc w:val="center"/>
              <w:rPr>
                <w:lang w:val="lt-LT"/>
              </w:rPr>
            </w:pPr>
            <w:r w:rsidRPr="00687B9A">
              <w:rPr>
                <w:lang w:val="lt-LT"/>
              </w:rPr>
              <w:t>10</w:t>
            </w:r>
          </w:p>
        </w:tc>
      </w:tr>
      <w:tr w:rsidR="00063D11" w:rsidRPr="00687B9A" w14:paraId="3EBAD420" w14:textId="77777777" w:rsidTr="00063D11">
        <w:tc>
          <w:tcPr>
            <w:tcW w:w="654" w:type="dxa"/>
            <w:vAlign w:val="center"/>
          </w:tcPr>
          <w:p w14:paraId="61F2CD4A" w14:textId="37BFE281" w:rsidR="00063D11" w:rsidRPr="00687B9A" w:rsidRDefault="00063D11" w:rsidP="000E7D58">
            <w:pPr>
              <w:jc w:val="center"/>
              <w:rPr>
                <w:b/>
                <w:lang w:val="lt-LT"/>
              </w:rPr>
            </w:pPr>
            <w:r w:rsidRPr="00687B9A">
              <w:rPr>
                <w:b/>
                <w:lang w:val="lt-LT"/>
              </w:rPr>
              <w:t>4.2.</w:t>
            </w:r>
          </w:p>
        </w:tc>
        <w:tc>
          <w:tcPr>
            <w:tcW w:w="11053" w:type="dxa"/>
            <w:vAlign w:val="center"/>
          </w:tcPr>
          <w:p w14:paraId="714CF441" w14:textId="450F920A" w:rsidR="00063D11" w:rsidRPr="00687B9A" w:rsidRDefault="00063D11" w:rsidP="00EB1AE1">
            <w:pPr>
              <w:jc w:val="both"/>
              <w:rPr>
                <w:rFonts w:eastAsia="Times New Roman"/>
                <w:b/>
                <w:lang w:val="lt-LT"/>
              </w:rPr>
            </w:pPr>
            <w:r w:rsidRPr="00687B9A">
              <w:rPr>
                <w:rFonts w:eastAsia="Times New Roman"/>
                <w:b/>
                <w:lang w:val="lt-LT"/>
              </w:rPr>
              <w:t>Minkštasuolis su atlošu EIF</w:t>
            </w:r>
          </w:p>
          <w:p w14:paraId="3C15CBF3" w14:textId="40F4FC6C" w:rsidR="00063D11" w:rsidRPr="00687B9A" w:rsidRDefault="00063D11" w:rsidP="00EB1AE1">
            <w:pPr>
              <w:jc w:val="both"/>
              <w:rPr>
                <w:rFonts w:eastAsia="Times New Roman"/>
                <w:lang w:val="lt-LT"/>
              </w:rPr>
            </w:pPr>
            <w:r w:rsidRPr="00687B9A">
              <w:rPr>
                <w:rFonts w:eastAsia="Times New Roman"/>
                <w:lang w:val="lt-LT"/>
              </w:rPr>
              <w:t xml:space="preserve">Minkštasuolis turi būti trapecijos formos su atlošu. Minkštasuolio matmenys ne mažesni nei: plotis išorinės dalies 800mm, vidinės dalies 500mm, gylis 720mm, aukštis iki sėdimos dalies 430mm, atlošo 820mm. Baldas turi būti pagamintas iš ne prastesnės medžiagos nei baldinė fanera bei mediena. Baldo sėdimosios dalies viršus ir dugnas turi būti pilnaviduriai, iš ne mažiau 12mm storio faneros, baldo šonai iš ne mažiau 3mm storio faneros, sustiprintos mediena. Baldas turi būti paminkštintas aukšto tankio porolonu – ne mažiau 42kg/m3 sėdimoji dalis ir ne mažiau 35kg/m3 šonai bei aptrauktas </w:t>
            </w:r>
            <w:proofErr w:type="spellStart"/>
            <w:r w:rsidRPr="00687B9A">
              <w:rPr>
                <w:rFonts w:eastAsia="Times New Roman"/>
                <w:lang w:val="lt-LT"/>
              </w:rPr>
              <w:t>ekooda</w:t>
            </w:r>
            <w:proofErr w:type="spellEnd"/>
            <w:r w:rsidRPr="00687B9A">
              <w:rPr>
                <w:rFonts w:eastAsia="Times New Roman"/>
                <w:lang w:val="lt-LT"/>
              </w:rPr>
              <w:t xml:space="preserve"> ar </w:t>
            </w:r>
            <w:r w:rsidRPr="00B50DCE">
              <w:rPr>
                <w:rFonts w:eastAsia="Times New Roman"/>
                <w:lang w:val="lt-LT"/>
              </w:rPr>
              <w:t xml:space="preserve">gobelenu (trynimo ciklai pagal </w:t>
            </w:r>
            <w:proofErr w:type="spellStart"/>
            <w:r w:rsidRPr="00B50DCE">
              <w:rPr>
                <w:rFonts w:eastAsia="Times New Roman"/>
                <w:lang w:val="lt-LT"/>
              </w:rPr>
              <w:t>Martindale</w:t>
            </w:r>
            <w:proofErr w:type="spellEnd"/>
            <w:r w:rsidRPr="00B50DCE">
              <w:rPr>
                <w:rFonts w:eastAsia="Times New Roman"/>
                <w:lang w:val="lt-LT"/>
              </w:rPr>
              <w:t xml:space="preserve"> arba analogišką skalę turi būti ne mažiau 100 000 ciklų).</w:t>
            </w:r>
            <w:r w:rsidR="004463CF" w:rsidRPr="00B50DCE">
              <w:rPr>
                <w:rFonts w:eastAsia="Times New Roman"/>
                <w:lang w:val="lt-LT"/>
              </w:rPr>
              <w:t xml:space="preserve"> </w:t>
            </w:r>
            <w:proofErr w:type="spellStart"/>
            <w:r w:rsidR="004463CF" w:rsidRPr="00B50DCE">
              <w:rPr>
                <w:b/>
              </w:rPr>
              <w:t>Tiekėjas</w:t>
            </w:r>
            <w:proofErr w:type="spellEnd"/>
            <w:r w:rsidR="004463CF" w:rsidRPr="00771A91">
              <w:rPr>
                <w:b/>
                <w:color w:val="000000"/>
              </w:rPr>
              <w:t xml:space="preserve">, </w:t>
            </w:r>
            <w:proofErr w:type="spellStart"/>
            <w:r w:rsidR="004463CF" w:rsidRPr="00771A91">
              <w:rPr>
                <w:b/>
                <w:color w:val="000000"/>
              </w:rPr>
              <w:t>pripažintas</w:t>
            </w:r>
            <w:proofErr w:type="spellEnd"/>
            <w:r w:rsidR="004463CF" w:rsidRPr="00771A91">
              <w:rPr>
                <w:b/>
                <w:color w:val="000000"/>
              </w:rPr>
              <w:t xml:space="preserve"> </w:t>
            </w:r>
            <w:proofErr w:type="spellStart"/>
            <w:r w:rsidR="004463CF" w:rsidRPr="00771A91">
              <w:rPr>
                <w:b/>
                <w:color w:val="000000"/>
              </w:rPr>
              <w:t>galimu</w:t>
            </w:r>
            <w:proofErr w:type="spellEnd"/>
            <w:r w:rsidR="004463CF" w:rsidRPr="00771A91">
              <w:rPr>
                <w:b/>
                <w:color w:val="000000"/>
              </w:rPr>
              <w:t xml:space="preserve"> </w:t>
            </w:r>
            <w:proofErr w:type="spellStart"/>
            <w:r w:rsidR="004463CF" w:rsidRPr="00771A91">
              <w:rPr>
                <w:b/>
                <w:color w:val="000000"/>
              </w:rPr>
              <w:t>laimėtoju</w:t>
            </w:r>
            <w:proofErr w:type="spellEnd"/>
            <w:r w:rsidR="004463CF" w:rsidRPr="00771A91">
              <w:rPr>
                <w:b/>
                <w:color w:val="000000"/>
              </w:rPr>
              <w:t xml:space="preserve">, </w:t>
            </w:r>
            <w:proofErr w:type="spellStart"/>
            <w:r w:rsidR="004463CF" w:rsidRPr="00771A91">
              <w:rPr>
                <w:b/>
                <w:color w:val="000000"/>
              </w:rPr>
              <w:t>privalo</w:t>
            </w:r>
            <w:proofErr w:type="spellEnd"/>
            <w:r w:rsidR="004463CF" w:rsidRPr="00771A91">
              <w:rPr>
                <w:b/>
                <w:color w:val="000000"/>
              </w:rPr>
              <w:t xml:space="preserve"> </w:t>
            </w:r>
            <w:proofErr w:type="spellStart"/>
            <w:r w:rsidR="004463CF" w:rsidRPr="00771A91">
              <w:rPr>
                <w:b/>
                <w:color w:val="000000"/>
              </w:rPr>
              <w:t>pateikti</w:t>
            </w:r>
            <w:proofErr w:type="spellEnd"/>
            <w:r w:rsidR="004463CF" w:rsidRPr="00771A91">
              <w:rPr>
                <w:b/>
                <w:color w:val="000000"/>
              </w:rPr>
              <w:t xml:space="preserve"> </w:t>
            </w:r>
            <w:proofErr w:type="spellStart"/>
            <w:r w:rsidR="004463CF" w:rsidRPr="00771A91">
              <w:rPr>
                <w:b/>
                <w:color w:val="000000"/>
              </w:rPr>
              <w:t>atitiktį</w:t>
            </w:r>
            <w:proofErr w:type="spellEnd"/>
            <w:r w:rsidR="004463CF" w:rsidRPr="00771A91">
              <w:rPr>
                <w:b/>
                <w:color w:val="000000"/>
              </w:rPr>
              <w:t xml:space="preserve"> </w:t>
            </w:r>
            <w:proofErr w:type="spellStart"/>
            <w:r w:rsidR="004463CF" w:rsidRPr="00771A91">
              <w:rPr>
                <w:b/>
                <w:color w:val="000000"/>
              </w:rPr>
              <w:t>reikalavimams</w:t>
            </w:r>
            <w:proofErr w:type="spellEnd"/>
            <w:r w:rsidR="004463CF" w:rsidRPr="00771A91">
              <w:rPr>
                <w:b/>
                <w:color w:val="000000"/>
              </w:rPr>
              <w:t xml:space="preserve"> </w:t>
            </w:r>
            <w:proofErr w:type="spellStart"/>
            <w:r w:rsidR="004463CF" w:rsidRPr="00771A91">
              <w:rPr>
                <w:b/>
                <w:color w:val="000000"/>
              </w:rPr>
              <w:t>įrodančius</w:t>
            </w:r>
            <w:proofErr w:type="spellEnd"/>
            <w:r w:rsidR="004463CF" w:rsidRPr="00771A91">
              <w:rPr>
                <w:b/>
                <w:color w:val="000000"/>
              </w:rPr>
              <w:t xml:space="preserve"> </w:t>
            </w:r>
            <w:proofErr w:type="spellStart"/>
            <w:r w:rsidR="004463CF" w:rsidRPr="00771A91">
              <w:rPr>
                <w:b/>
                <w:color w:val="000000"/>
              </w:rPr>
              <w:t>dokumentus</w:t>
            </w:r>
            <w:proofErr w:type="spellEnd"/>
            <w:r w:rsidR="004463CF" w:rsidRPr="00771A91">
              <w:rPr>
                <w:b/>
                <w:color w:val="000000"/>
              </w:rPr>
              <w:t xml:space="preserve"> </w:t>
            </w:r>
            <w:proofErr w:type="spellStart"/>
            <w:r w:rsidR="004463CF" w:rsidRPr="00771A91">
              <w:rPr>
                <w:b/>
                <w:color w:val="000000"/>
              </w:rPr>
              <w:t>t.y</w:t>
            </w:r>
            <w:proofErr w:type="spellEnd"/>
            <w:r w:rsidR="004463CF" w:rsidRPr="00771A91">
              <w:rPr>
                <w:b/>
                <w:color w:val="000000"/>
              </w:rPr>
              <w:t>.</w:t>
            </w:r>
            <w:r w:rsidR="004463CF" w:rsidRPr="0024378B">
              <w:rPr>
                <w:color w:val="000000"/>
              </w:rPr>
              <w:t xml:space="preserve"> </w:t>
            </w:r>
            <w:proofErr w:type="spellStart"/>
            <w:r w:rsidR="004463CF" w:rsidRPr="0024378B">
              <w:rPr>
                <w:color w:val="000000"/>
              </w:rPr>
              <w:t>bandymų</w:t>
            </w:r>
            <w:proofErr w:type="spellEnd"/>
            <w:r w:rsidR="004463CF" w:rsidRPr="0024378B">
              <w:rPr>
                <w:color w:val="000000"/>
              </w:rPr>
              <w:t xml:space="preserve"> </w:t>
            </w:r>
            <w:proofErr w:type="spellStart"/>
            <w:r w:rsidR="004463CF" w:rsidRPr="0024378B">
              <w:rPr>
                <w:color w:val="000000"/>
              </w:rPr>
              <w:t>protokolą</w:t>
            </w:r>
            <w:proofErr w:type="spellEnd"/>
            <w:r w:rsidR="004463CF">
              <w:rPr>
                <w:color w:val="000000"/>
              </w:rPr>
              <w:t xml:space="preserve"> </w:t>
            </w:r>
            <w:proofErr w:type="spellStart"/>
            <w:r w:rsidR="004463CF">
              <w:rPr>
                <w:color w:val="000000"/>
              </w:rPr>
              <w:t>ar</w:t>
            </w:r>
            <w:proofErr w:type="spellEnd"/>
            <w:r w:rsidR="004463CF">
              <w:rPr>
                <w:color w:val="000000"/>
              </w:rPr>
              <w:t xml:space="preserve"> </w:t>
            </w:r>
            <w:proofErr w:type="spellStart"/>
            <w:r w:rsidR="004463CF">
              <w:rPr>
                <w:color w:val="000000"/>
              </w:rPr>
              <w:t>kitą</w:t>
            </w:r>
            <w:proofErr w:type="spellEnd"/>
            <w:r w:rsidR="004463CF">
              <w:rPr>
                <w:color w:val="000000"/>
              </w:rPr>
              <w:t xml:space="preserve"> </w:t>
            </w:r>
            <w:proofErr w:type="spellStart"/>
            <w:r w:rsidR="004463CF">
              <w:rPr>
                <w:color w:val="000000"/>
              </w:rPr>
              <w:t>lygiavertį</w:t>
            </w:r>
            <w:proofErr w:type="spellEnd"/>
            <w:r w:rsidR="004463CF">
              <w:rPr>
                <w:color w:val="000000"/>
              </w:rPr>
              <w:t xml:space="preserve"> </w:t>
            </w:r>
            <w:proofErr w:type="spellStart"/>
            <w:r w:rsidR="004463CF">
              <w:rPr>
                <w:color w:val="000000"/>
              </w:rPr>
              <w:t>dokumentą</w:t>
            </w:r>
            <w:proofErr w:type="spellEnd"/>
            <w:r w:rsidR="004463CF" w:rsidRPr="00771A91">
              <w:rPr>
                <w:b/>
                <w:color w:val="000000"/>
              </w:rPr>
              <w:t>.</w:t>
            </w:r>
          </w:p>
          <w:p w14:paraId="3ABA69CC" w14:textId="2CC48CF8" w:rsidR="00063D11" w:rsidRPr="00687B9A" w:rsidRDefault="00063D11" w:rsidP="00EB1AE1">
            <w:pPr>
              <w:jc w:val="both"/>
              <w:rPr>
                <w:b/>
                <w:lang w:val="lt-LT"/>
              </w:rPr>
            </w:pPr>
            <w:r w:rsidRPr="00687B9A">
              <w:rPr>
                <w:rFonts w:eastAsia="Times New Roman"/>
                <w:lang w:val="lt-LT"/>
              </w:rPr>
              <w:t>Baldas turi būti su ne mažiau 4 plastikinėmis kojelėmis, ne mažiau 25mm, ir kurių padas su apsauga nuo grindų braižymo. Baldo spalva turi būti derinama su užsakovu renkantis iš ne mažiau kaip 5 spalvų.</w:t>
            </w:r>
          </w:p>
        </w:tc>
        <w:tc>
          <w:tcPr>
            <w:tcW w:w="763" w:type="dxa"/>
            <w:vAlign w:val="center"/>
          </w:tcPr>
          <w:p w14:paraId="1C798FC1" w14:textId="2303BD86" w:rsidR="00063D11" w:rsidRPr="00687B9A" w:rsidRDefault="00063D11" w:rsidP="000E7D58">
            <w:pPr>
              <w:jc w:val="center"/>
              <w:rPr>
                <w:lang w:val="lt-LT"/>
              </w:rPr>
            </w:pPr>
            <w:r w:rsidRPr="00687B9A">
              <w:rPr>
                <w:lang w:val="lt-LT"/>
              </w:rPr>
              <w:t>Vnt.</w:t>
            </w:r>
          </w:p>
        </w:tc>
        <w:tc>
          <w:tcPr>
            <w:tcW w:w="992" w:type="dxa"/>
            <w:vAlign w:val="center"/>
          </w:tcPr>
          <w:p w14:paraId="7E8C8E04" w14:textId="00A2A801" w:rsidR="00063D11" w:rsidRPr="00687B9A" w:rsidRDefault="00063D11" w:rsidP="000E7D58">
            <w:pPr>
              <w:jc w:val="center"/>
              <w:rPr>
                <w:lang w:val="lt-LT"/>
              </w:rPr>
            </w:pPr>
            <w:r w:rsidRPr="00687B9A">
              <w:rPr>
                <w:lang w:val="lt-LT"/>
              </w:rPr>
              <w:t>4</w:t>
            </w:r>
          </w:p>
        </w:tc>
      </w:tr>
      <w:tr w:rsidR="00063D11" w:rsidRPr="00687B9A" w14:paraId="1A271764" w14:textId="77777777" w:rsidTr="00063D11">
        <w:tc>
          <w:tcPr>
            <w:tcW w:w="654" w:type="dxa"/>
            <w:vAlign w:val="center"/>
          </w:tcPr>
          <w:p w14:paraId="598062D8" w14:textId="4A3792AD" w:rsidR="00063D11" w:rsidRPr="00687B9A" w:rsidRDefault="00063D11" w:rsidP="000E7D58">
            <w:pPr>
              <w:jc w:val="center"/>
              <w:rPr>
                <w:b/>
                <w:lang w:val="lt-LT"/>
              </w:rPr>
            </w:pPr>
            <w:r w:rsidRPr="00687B9A">
              <w:rPr>
                <w:b/>
                <w:lang w:val="lt-LT"/>
              </w:rPr>
              <w:t>4.3.</w:t>
            </w:r>
          </w:p>
        </w:tc>
        <w:tc>
          <w:tcPr>
            <w:tcW w:w="11053" w:type="dxa"/>
            <w:vAlign w:val="center"/>
          </w:tcPr>
          <w:p w14:paraId="058F099F" w14:textId="1508783A" w:rsidR="00063D11" w:rsidRPr="00687B9A" w:rsidRDefault="00063D11" w:rsidP="008115D4">
            <w:pPr>
              <w:rPr>
                <w:rFonts w:eastAsia="Times New Roman"/>
                <w:b/>
                <w:lang w:val="lt-LT"/>
              </w:rPr>
            </w:pPr>
            <w:r w:rsidRPr="00687B9A">
              <w:rPr>
                <w:rFonts w:eastAsia="Times New Roman"/>
                <w:b/>
                <w:lang w:val="lt-LT"/>
              </w:rPr>
              <w:t>Vienvietis minkštasuolis EIF</w:t>
            </w:r>
          </w:p>
          <w:p w14:paraId="7685E19D" w14:textId="26948172" w:rsidR="00063D11" w:rsidRPr="00687B9A" w:rsidRDefault="00063D11" w:rsidP="008912FE">
            <w:pPr>
              <w:jc w:val="both"/>
              <w:rPr>
                <w:rFonts w:eastAsia="Times New Roman"/>
                <w:lang w:val="lt-LT"/>
              </w:rPr>
            </w:pPr>
            <w:r w:rsidRPr="00687B9A">
              <w:rPr>
                <w:rFonts w:eastAsia="Times New Roman"/>
                <w:lang w:val="lt-LT"/>
              </w:rPr>
              <w:t>Minkštasuolis turi būti kvadrato formos, užapvalintais kampais. Minkštasuolio matmenys ne mažesni nei: plotis 500mm, gylis 500mm, aukštis iki sėdimos dalies 440mm.</w:t>
            </w:r>
          </w:p>
          <w:p w14:paraId="5D0DE140" w14:textId="6D975677" w:rsidR="00063D11" w:rsidRPr="00687B9A" w:rsidRDefault="00063D11" w:rsidP="008912FE">
            <w:pPr>
              <w:jc w:val="both"/>
              <w:rPr>
                <w:rFonts w:eastAsia="Times New Roman"/>
                <w:lang w:val="lt-LT"/>
              </w:rPr>
            </w:pPr>
            <w:r w:rsidRPr="00687B9A">
              <w:rPr>
                <w:rFonts w:eastAsia="Times New Roman"/>
                <w:lang w:val="lt-LT"/>
              </w:rPr>
              <w:t xml:space="preserve">Baldas turi būti pagamintas iš ne prastesnės medžiagos nei baldinė fanera bei mediena. Baldo sėdimosios dalies viršus ir dugnas pilnaviduriai, iš ne mažiau 12mm storio faneros, baldo šonai iš ne mažiau 3mm storio faneros, sustiprintos mediena. Baldas turi būti </w:t>
            </w:r>
            <w:r w:rsidRPr="00B50DCE">
              <w:rPr>
                <w:rFonts w:eastAsia="Times New Roman"/>
                <w:lang w:val="lt-LT"/>
              </w:rPr>
              <w:t xml:space="preserve">paminkštintas aukšto tankio porolonu – ne mažiau 42kg/m3 sėdimoji dalis ir ne mažiau 35kg/m3 šonai bei aptrauktas </w:t>
            </w:r>
            <w:proofErr w:type="spellStart"/>
            <w:r w:rsidRPr="00B50DCE">
              <w:rPr>
                <w:rFonts w:eastAsia="Times New Roman"/>
                <w:lang w:val="lt-LT"/>
              </w:rPr>
              <w:t>ekooda</w:t>
            </w:r>
            <w:proofErr w:type="spellEnd"/>
            <w:r w:rsidRPr="00B50DCE">
              <w:rPr>
                <w:rFonts w:eastAsia="Times New Roman"/>
                <w:lang w:val="lt-LT"/>
              </w:rPr>
              <w:t xml:space="preserve"> ar gobelenu (trynimo ciklai pagal </w:t>
            </w:r>
            <w:proofErr w:type="spellStart"/>
            <w:r w:rsidRPr="00B50DCE">
              <w:rPr>
                <w:rFonts w:eastAsia="Times New Roman"/>
                <w:lang w:val="lt-LT"/>
              </w:rPr>
              <w:t>Martindale</w:t>
            </w:r>
            <w:proofErr w:type="spellEnd"/>
            <w:r w:rsidRPr="00B50DCE">
              <w:rPr>
                <w:rFonts w:eastAsia="Times New Roman"/>
                <w:lang w:val="lt-LT"/>
              </w:rPr>
              <w:t xml:space="preserve"> arba analogišką skalę turi būti ne mažiau 100 000 ciklų). </w:t>
            </w:r>
            <w:proofErr w:type="spellStart"/>
            <w:r w:rsidR="00B50DCE" w:rsidRPr="00B50DCE">
              <w:rPr>
                <w:b/>
              </w:rPr>
              <w:t>Tiekėjas</w:t>
            </w:r>
            <w:proofErr w:type="spellEnd"/>
            <w:r w:rsidR="00B50DCE" w:rsidRPr="00771A91">
              <w:rPr>
                <w:b/>
                <w:color w:val="000000"/>
              </w:rPr>
              <w:t xml:space="preserve">, </w:t>
            </w:r>
            <w:proofErr w:type="spellStart"/>
            <w:r w:rsidR="00B50DCE" w:rsidRPr="00771A91">
              <w:rPr>
                <w:b/>
                <w:color w:val="000000"/>
              </w:rPr>
              <w:t>pripažintas</w:t>
            </w:r>
            <w:proofErr w:type="spellEnd"/>
            <w:r w:rsidR="00B50DCE" w:rsidRPr="00771A91">
              <w:rPr>
                <w:b/>
                <w:color w:val="000000"/>
              </w:rPr>
              <w:t xml:space="preserve"> </w:t>
            </w:r>
            <w:proofErr w:type="spellStart"/>
            <w:r w:rsidR="00B50DCE" w:rsidRPr="00771A91">
              <w:rPr>
                <w:b/>
                <w:color w:val="000000"/>
              </w:rPr>
              <w:t>galimu</w:t>
            </w:r>
            <w:proofErr w:type="spellEnd"/>
            <w:r w:rsidR="00B50DCE" w:rsidRPr="00771A91">
              <w:rPr>
                <w:b/>
                <w:color w:val="000000"/>
              </w:rPr>
              <w:t xml:space="preserve"> </w:t>
            </w:r>
            <w:proofErr w:type="spellStart"/>
            <w:r w:rsidR="00B50DCE" w:rsidRPr="00771A91">
              <w:rPr>
                <w:b/>
                <w:color w:val="000000"/>
              </w:rPr>
              <w:t>laimėtoju</w:t>
            </w:r>
            <w:proofErr w:type="spellEnd"/>
            <w:r w:rsidR="00B50DCE" w:rsidRPr="00771A91">
              <w:rPr>
                <w:b/>
                <w:color w:val="000000"/>
              </w:rPr>
              <w:t xml:space="preserve">, </w:t>
            </w:r>
            <w:proofErr w:type="spellStart"/>
            <w:r w:rsidR="00B50DCE" w:rsidRPr="00771A91">
              <w:rPr>
                <w:b/>
                <w:color w:val="000000"/>
              </w:rPr>
              <w:t>privalo</w:t>
            </w:r>
            <w:proofErr w:type="spellEnd"/>
            <w:r w:rsidR="00B50DCE" w:rsidRPr="00771A91">
              <w:rPr>
                <w:b/>
                <w:color w:val="000000"/>
              </w:rPr>
              <w:t xml:space="preserve"> </w:t>
            </w:r>
            <w:proofErr w:type="spellStart"/>
            <w:r w:rsidR="00B50DCE" w:rsidRPr="00771A91">
              <w:rPr>
                <w:b/>
                <w:color w:val="000000"/>
              </w:rPr>
              <w:t>pateikti</w:t>
            </w:r>
            <w:proofErr w:type="spellEnd"/>
            <w:r w:rsidR="00B50DCE" w:rsidRPr="00771A91">
              <w:rPr>
                <w:b/>
                <w:color w:val="000000"/>
              </w:rPr>
              <w:t xml:space="preserve"> </w:t>
            </w:r>
            <w:proofErr w:type="spellStart"/>
            <w:r w:rsidR="00B50DCE" w:rsidRPr="00771A91">
              <w:rPr>
                <w:b/>
                <w:color w:val="000000"/>
              </w:rPr>
              <w:t>atitiktį</w:t>
            </w:r>
            <w:proofErr w:type="spellEnd"/>
            <w:r w:rsidR="00B50DCE" w:rsidRPr="00771A91">
              <w:rPr>
                <w:b/>
                <w:color w:val="000000"/>
              </w:rPr>
              <w:t xml:space="preserve"> </w:t>
            </w:r>
            <w:proofErr w:type="spellStart"/>
            <w:r w:rsidR="00B50DCE" w:rsidRPr="00771A91">
              <w:rPr>
                <w:b/>
                <w:color w:val="000000"/>
              </w:rPr>
              <w:t>reikalavimams</w:t>
            </w:r>
            <w:proofErr w:type="spellEnd"/>
            <w:r w:rsidR="00B50DCE" w:rsidRPr="00771A91">
              <w:rPr>
                <w:b/>
                <w:color w:val="000000"/>
              </w:rPr>
              <w:t xml:space="preserve"> </w:t>
            </w:r>
            <w:proofErr w:type="spellStart"/>
            <w:r w:rsidR="00B50DCE" w:rsidRPr="00771A91">
              <w:rPr>
                <w:b/>
                <w:color w:val="000000"/>
              </w:rPr>
              <w:t>įrodančius</w:t>
            </w:r>
            <w:proofErr w:type="spellEnd"/>
            <w:r w:rsidR="00B50DCE" w:rsidRPr="00771A91">
              <w:rPr>
                <w:b/>
                <w:color w:val="000000"/>
              </w:rPr>
              <w:t xml:space="preserve"> </w:t>
            </w:r>
            <w:proofErr w:type="spellStart"/>
            <w:r w:rsidR="00B50DCE" w:rsidRPr="00771A91">
              <w:rPr>
                <w:b/>
                <w:color w:val="000000"/>
              </w:rPr>
              <w:t>dokumentus</w:t>
            </w:r>
            <w:proofErr w:type="spellEnd"/>
            <w:r w:rsidR="00B50DCE" w:rsidRPr="00771A91">
              <w:rPr>
                <w:b/>
                <w:color w:val="000000"/>
              </w:rPr>
              <w:t xml:space="preserve"> </w:t>
            </w:r>
            <w:proofErr w:type="spellStart"/>
            <w:r w:rsidR="00B50DCE" w:rsidRPr="00771A91">
              <w:rPr>
                <w:b/>
                <w:color w:val="000000"/>
              </w:rPr>
              <w:t>t.y</w:t>
            </w:r>
            <w:proofErr w:type="spellEnd"/>
            <w:r w:rsidR="00B50DCE" w:rsidRPr="00771A91">
              <w:rPr>
                <w:b/>
                <w:color w:val="000000"/>
              </w:rPr>
              <w:t>.</w:t>
            </w:r>
            <w:r w:rsidR="00B50DCE" w:rsidRPr="0024378B">
              <w:rPr>
                <w:color w:val="000000"/>
              </w:rPr>
              <w:t xml:space="preserve"> </w:t>
            </w:r>
            <w:proofErr w:type="spellStart"/>
            <w:r w:rsidR="00B50DCE" w:rsidRPr="0024378B">
              <w:rPr>
                <w:color w:val="000000"/>
              </w:rPr>
              <w:t>bandymų</w:t>
            </w:r>
            <w:proofErr w:type="spellEnd"/>
            <w:r w:rsidR="00B50DCE" w:rsidRPr="0024378B">
              <w:rPr>
                <w:color w:val="000000"/>
              </w:rPr>
              <w:t xml:space="preserve"> </w:t>
            </w:r>
            <w:proofErr w:type="spellStart"/>
            <w:r w:rsidR="00B50DCE" w:rsidRPr="0024378B">
              <w:rPr>
                <w:color w:val="000000"/>
              </w:rPr>
              <w:t>protokolą</w:t>
            </w:r>
            <w:proofErr w:type="spellEnd"/>
            <w:r w:rsidR="00B50DCE">
              <w:rPr>
                <w:color w:val="000000"/>
              </w:rPr>
              <w:t xml:space="preserve"> </w:t>
            </w:r>
            <w:proofErr w:type="spellStart"/>
            <w:r w:rsidR="00B50DCE">
              <w:rPr>
                <w:color w:val="000000"/>
              </w:rPr>
              <w:t>ar</w:t>
            </w:r>
            <w:proofErr w:type="spellEnd"/>
            <w:r w:rsidR="00B50DCE">
              <w:rPr>
                <w:color w:val="000000"/>
              </w:rPr>
              <w:t xml:space="preserve"> </w:t>
            </w:r>
            <w:proofErr w:type="spellStart"/>
            <w:r w:rsidR="00B50DCE">
              <w:rPr>
                <w:color w:val="000000"/>
              </w:rPr>
              <w:t>kitą</w:t>
            </w:r>
            <w:proofErr w:type="spellEnd"/>
            <w:r w:rsidR="00B50DCE">
              <w:rPr>
                <w:color w:val="000000"/>
              </w:rPr>
              <w:t xml:space="preserve"> </w:t>
            </w:r>
            <w:proofErr w:type="spellStart"/>
            <w:r w:rsidR="00B50DCE">
              <w:rPr>
                <w:color w:val="000000"/>
              </w:rPr>
              <w:t>lygiavertį</w:t>
            </w:r>
            <w:proofErr w:type="spellEnd"/>
            <w:r w:rsidR="00B50DCE">
              <w:rPr>
                <w:color w:val="000000"/>
              </w:rPr>
              <w:t xml:space="preserve"> </w:t>
            </w:r>
            <w:proofErr w:type="spellStart"/>
            <w:r w:rsidR="00B50DCE">
              <w:rPr>
                <w:color w:val="000000"/>
              </w:rPr>
              <w:t>dokumentą</w:t>
            </w:r>
            <w:proofErr w:type="spellEnd"/>
          </w:p>
          <w:p w14:paraId="0848FFD6" w14:textId="77777777" w:rsidR="00063D11" w:rsidRPr="00687B9A" w:rsidRDefault="00063D11" w:rsidP="008912FE">
            <w:pPr>
              <w:jc w:val="both"/>
              <w:rPr>
                <w:rFonts w:eastAsia="Times New Roman"/>
                <w:lang w:val="lt-LT"/>
              </w:rPr>
            </w:pPr>
            <w:r w:rsidRPr="00687B9A">
              <w:rPr>
                <w:rFonts w:eastAsia="Times New Roman"/>
                <w:lang w:val="lt-LT"/>
              </w:rPr>
              <w:t>Baldas turi būti su ne mažiau 4 metalinėmis kojelėmis, ne mažiau 100mm aukščio, ir kurių padas su apsauga nuo grindų braižymo. Kojelės tvirtinamos baldo dugne, tačiau turi būti suprojektuotos taip, kad dengtų dalį baldo šono – minkšta dalis tarsi įdėta į kojelių bloką (kaip pavaizduota asociatyvioje foto). Baldo spalva turi būti derinama su užsakovu renkantis iš ne mažiau kaip 5 spalvų.</w:t>
            </w:r>
          </w:p>
          <w:p w14:paraId="52454A4A" w14:textId="77777777" w:rsidR="00063D11" w:rsidRPr="00687B9A" w:rsidRDefault="00063D11" w:rsidP="008912FE">
            <w:pPr>
              <w:jc w:val="both"/>
              <w:rPr>
                <w:rFonts w:eastAsia="Times New Roman"/>
                <w:i/>
                <w:lang w:val="lt-LT"/>
              </w:rPr>
            </w:pPr>
            <w:r w:rsidRPr="00687B9A">
              <w:rPr>
                <w:rFonts w:eastAsia="Times New Roman"/>
                <w:i/>
                <w:lang w:val="lt-LT"/>
              </w:rPr>
              <w:t>Asociatyvi foto:</w:t>
            </w:r>
          </w:p>
          <w:p w14:paraId="2D5CDD53" w14:textId="398139E5" w:rsidR="00063D11" w:rsidRPr="00687B9A" w:rsidRDefault="00063D11" w:rsidP="008912FE">
            <w:pPr>
              <w:jc w:val="both"/>
              <w:rPr>
                <w:rFonts w:eastAsia="Times New Roman"/>
                <w:lang w:val="lt-LT"/>
              </w:rPr>
            </w:pPr>
            <w:r w:rsidRPr="00687B9A">
              <w:rPr>
                <w:noProof/>
                <w:lang w:val="lt-LT"/>
              </w:rPr>
              <w:lastRenderedPageBreak/>
              <w:drawing>
                <wp:inline distT="0" distB="0" distL="0" distR="0" wp14:anchorId="0F2BA00D" wp14:editId="5A3304B1">
                  <wp:extent cx="803081" cy="7096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0673" cy="716408"/>
                          </a:xfrm>
                          <a:prstGeom prst="rect">
                            <a:avLst/>
                          </a:prstGeom>
                        </pic:spPr>
                      </pic:pic>
                    </a:graphicData>
                  </a:graphic>
                </wp:inline>
              </w:drawing>
            </w:r>
            <w:r w:rsidRPr="00687B9A">
              <w:rPr>
                <w:noProof/>
                <w:lang w:val="lt-LT"/>
              </w:rPr>
              <w:t xml:space="preserve"> </w:t>
            </w:r>
            <w:r w:rsidRPr="00687B9A">
              <w:rPr>
                <w:noProof/>
                <w:lang w:val="lt-LT"/>
              </w:rPr>
              <w:drawing>
                <wp:inline distT="0" distB="0" distL="0" distR="0" wp14:anchorId="7392F97E" wp14:editId="022CED57">
                  <wp:extent cx="610098" cy="890546"/>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227" cy="902411"/>
                          </a:xfrm>
                          <a:prstGeom prst="rect">
                            <a:avLst/>
                          </a:prstGeom>
                        </pic:spPr>
                      </pic:pic>
                    </a:graphicData>
                  </a:graphic>
                </wp:inline>
              </w:drawing>
            </w:r>
          </w:p>
        </w:tc>
        <w:tc>
          <w:tcPr>
            <w:tcW w:w="763" w:type="dxa"/>
            <w:vAlign w:val="center"/>
          </w:tcPr>
          <w:p w14:paraId="5EA37F5C" w14:textId="0410C733" w:rsidR="00063D11" w:rsidRPr="00687B9A" w:rsidRDefault="00063D11" w:rsidP="000E7D58">
            <w:pPr>
              <w:jc w:val="center"/>
              <w:rPr>
                <w:lang w:val="lt-LT"/>
              </w:rPr>
            </w:pPr>
            <w:r w:rsidRPr="00687B9A">
              <w:rPr>
                <w:lang w:val="lt-LT"/>
              </w:rPr>
              <w:lastRenderedPageBreak/>
              <w:t>Vnt.</w:t>
            </w:r>
          </w:p>
        </w:tc>
        <w:tc>
          <w:tcPr>
            <w:tcW w:w="992" w:type="dxa"/>
            <w:vAlign w:val="center"/>
          </w:tcPr>
          <w:p w14:paraId="4159CDD4" w14:textId="0AA18CA2" w:rsidR="00063D11" w:rsidRPr="00687B9A" w:rsidRDefault="00063D11" w:rsidP="000E7D58">
            <w:pPr>
              <w:jc w:val="center"/>
              <w:rPr>
                <w:lang w:val="lt-LT"/>
              </w:rPr>
            </w:pPr>
            <w:r w:rsidRPr="00687B9A">
              <w:rPr>
                <w:lang w:val="lt-LT"/>
              </w:rPr>
              <w:t>6</w:t>
            </w:r>
          </w:p>
        </w:tc>
      </w:tr>
      <w:tr w:rsidR="00063D11" w:rsidRPr="00687B9A" w14:paraId="24279D49" w14:textId="77777777" w:rsidTr="00063D11">
        <w:tc>
          <w:tcPr>
            <w:tcW w:w="654" w:type="dxa"/>
            <w:vAlign w:val="center"/>
          </w:tcPr>
          <w:p w14:paraId="33BC1C12" w14:textId="722137B9" w:rsidR="00063D11" w:rsidRPr="00687B9A" w:rsidRDefault="00063D11" w:rsidP="000E7D58">
            <w:pPr>
              <w:jc w:val="center"/>
              <w:rPr>
                <w:b/>
                <w:lang w:val="lt-LT"/>
              </w:rPr>
            </w:pPr>
            <w:r w:rsidRPr="00687B9A">
              <w:rPr>
                <w:b/>
                <w:lang w:val="lt-LT"/>
              </w:rPr>
              <w:t>4.4.</w:t>
            </w:r>
          </w:p>
        </w:tc>
        <w:tc>
          <w:tcPr>
            <w:tcW w:w="11053" w:type="dxa"/>
            <w:vAlign w:val="center"/>
          </w:tcPr>
          <w:p w14:paraId="6F25A82B" w14:textId="0B162EB6" w:rsidR="00063D11" w:rsidRPr="00687B9A" w:rsidRDefault="00063D11" w:rsidP="003E7BC6">
            <w:pPr>
              <w:jc w:val="both"/>
              <w:rPr>
                <w:rFonts w:eastAsia="Times New Roman"/>
                <w:b/>
                <w:lang w:val="lt-LT"/>
              </w:rPr>
            </w:pPr>
            <w:r w:rsidRPr="00687B9A">
              <w:rPr>
                <w:rFonts w:eastAsia="Times New Roman"/>
                <w:b/>
                <w:lang w:val="lt-LT"/>
              </w:rPr>
              <w:t xml:space="preserve">Dvivietis minkštasuolis EIF </w:t>
            </w:r>
          </w:p>
          <w:p w14:paraId="4B4AC4A6" w14:textId="5678BB7D" w:rsidR="00063D11" w:rsidRPr="00687B9A" w:rsidRDefault="00063D11" w:rsidP="003E7BC6">
            <w:pPr>
              <w:jc w:val="both"/>
              <w:rPr>
                <w:rFonts w:eastAsia="Times New Roman"/>
                <w:lang w:val="lt-LT"/>
              </w:rPr>
            </w:pPr>
            <w:r w:rsidRPr="00687B9A">
              <w:rPr>
                <w:rFonts w:eastAsia="Times New Roman"/>
                <w:lang w:val="lt-LT"/>
              </w:rPr>
              <w:t xml:space="preserve">Minkštasuolis stačiakampio formos, užapvalintais kampais. Minkštasuolio matmenys ne mažesni nei: plotis 930mm, gylis 500mm, aukštis iki sėdimos dalies – 440mm. Baldas turi būti pagamintas iš ne prastesnės medžiagos nei baldinė fanera bei mediena. Baldo sėdimosios dalies viršus ir dugnas pilnaviduriai, iš ne mažiau 12mm storio faneros, baldo šonai iš ne mažiau 3mm storio faneros, sustiprintos mediena. Baldas turi būti paminkštintas aukšto tankio </w:t>
            </w:r>
            <w:r w:rsidRPr="00B50DCE">
              <w:rPr>
                <w:rFonts w:eastAsia="Times New Roman"/>
                <w:lang w:val="lt-LT"/>
              </w:rPr>
              <w:t xml:space="preserve">porolonu – ne mažiau 42kg/m3 sėdimoji dalis ir ne mažiau 35kg/m3 šonai bei aptrauktas </w:t>
            </w:r>
            <w:proofErr w:type="spellStart"/>
            <w:r w:rsidRPr="00B50DCE">
              <w:rPr>
                <w:rFonts w:eastAsia="Times New Roman"/>
                <w:lang w:val="lt-LT"/>
              </w:rPr>
              <w:t>ekooda</w:t>
            </w:r>
            <w:proofErr w:type="spellEnd"/>
            <w:r w:rsidRPr="00B50DCE">
              <w:rPr>
                <w:rFonts w:eastAsia="Times New Roman"/>
                <w:lang w:val="lt-LT"/>
              </w:rPr>
              <w:t xml:space="preserve"> ar gobelenu (trynimo ciklai pagal </w:t>
            </w:r>
            <w:proofErr w:type="spellStart"/>
            <w:r w:rsidRPr="00B50DCE">
              <w:rPr>
                <w:rFonts w:eastAsia="Times New Roman"/>
                <w:lang w:val="lt-LT"/>
              </w:rPr>
              <w:t>Martindale</w:t>
            </w:r>
            <w:proofErr w:type="spellEnd"/>
            <w:r w:rsidRPr="00B50DCE">
              <w:rPr>
                <w:rFonts w:eastAsia="Times New Roman"/>
                <w:lang w:val="lt-LT"/>
              </w:rPr>
              <w:t xml:space="preserve"> arba analogišką skalę turi būti ne mažiau 100 000 ciklų).</w:t>
            </w:r>
            <w:r w:rsidR="00B50DCE" w:rsidRPr="00B50DCE">
              <w:rPr>
                <w:rFonts w:eastAsia="Times New Roman"/>
                <w:lang w:val="lt-LT"/>
              </w:rPr>
              <w:t xml:space="preserve"> </w:t>
            </w:r>
            <w:proofErr w:type="spellStart"/>
            <w:r w:rsidR="00B50DCE" w:rsidRPr="00B50DCE">
              <w:rPr>
                <w:b/>
              </w:rPr>
              <w:t>Tiekėjas</w:t>
            </w:r>
            <w:proofErr w:type="spellEnd"/>
            <w:r w:rsidR="00B50DCE" w:rsidRPr="00B50DCE">
              <w:rPr>
                <w:b/>
              </w:rPr>
              <w:t xml:space="preserve">, </w:t>
            </w:r>
            <w:proofErr w:type="spellStart"/>
            <w:r w:rsidR="00B50DCE" w:rsidRPr="00B50DCE">
              <w:rPr>
                <w:b/>
              </w:rPr>
              <w:t>pripažintas</w:t>
            </w:r>
            <w:proofErr w:type="spellEnd"/>
            <w:r w:rsidR="00B50DCE" w:rsidRPr="00B50DCE">
              <w:rPr>
                <w:b/>
              </w:rPr>
              <w:t xml:space="preserve"> </w:t>
            </w:r>
            <w:proofErr w:type="spellStart"/>
            <w:r w:rsidR="00B50DCE" w:rsidRPr="00B50DCE">
              <w:rPr>
                <w:b/>
              </w:rPr>
              <w:t>galimu</w:t>
            </w:r>
            <w:proofErr w:type="spellEnd"/>
            <w:r w:rsidR="00B50DCE" w:rsidRPr="00B50DCE">
              <w:rPr>
                <w:b/>
              </w:rPr>
              <w:t xml:space="preserve"> </w:t>
            </w:r>
            <w:proofErr w:type="spellStart"/>
            <w:r w:rsidR="00B50DCE" w:rsidRPr="00B50DCE">
              <w:rPr>
                <w:b/>
              </w:rPr>
              <w:t>laimėtoju</w:t>
            </w:r>
            <w:proofErr w:type="spellEnd"/>
            <w:r w:rsidR="00B50DCE" w:rsidRPr="00B50DCE">
              <w:rPr>
                <w:b/>
              </w:rPr>
              <w:t xml:space="preserve">, </w:t>
            </w:r>
            <w:proofErr w:type="spellStart"/>
            <w:r w:rsidR="00B50DCE" w:rsidRPr="00B50DCE">
              <w:rPr>
                <w:b/>
              </w:rPr>
              <w:t>privalo</w:t>
            </w:r>
            <w:proofErr w:type="spellEnd"/>
            <w:r w:rsidR="00B50DCE" w:rsidRPr="00B50DCE">
              <w:rPr>
                <w:b/>
              </w:rPr>
              <w:t xml:space="preserve"> </w:t>
            </w:r>
            <w:proofErr w:type="spellStart"/>
            <w:r w:rsidR="00B50DCE" w:rsidRPr="00B50DCE">
              <w:rPr>
                <w:b/>
              </w:rPr>
              <w:t>pateikti</w:t>
            </w:r>
            <w:proofErr w:type="spellEnd"/>
            <w:r w:rsidR="00B50DCE" w:rsidRPr="00B50DCE">
              <w:rPr>
                <w:b/>
              </w:rPr>
              <w:t xml:space="preserve"> </w:t>
            </w:r>
            <w:proofErr w:type="spellStart"/>
            <w:r w:rsidR="00B50DCE" w:rsidRPr="00B50DCE">
              <w:rPr>
                <w:b/>
              </w:rPr>
              <w:t>atitiktį</w:t>
            </w:r>
            <w:proofErr w:type="spellEnd"/>
            <w:r w:rsidR="00B50DCE" w:rsidRPr="00B50DCE">
              <w:rPr>
                <w:b/>
              </w:rPr>
              <w:t xml:space="preserve"> </w:t>
            </w:r>
            <w:proofErr w:type="spellStart"/>
            <w:r w:rsidR="00B50DCE" w:rsidRPr="00B50DCE">
              <w:rPr>
                <w:b/>
              </w:rPr>
              <w:t>reikalavimams</w:t>
            </w:r>
            <w:proofErr w:type="spellEnd"/>
            <w:r w:rsidR="00B50DCE" w:rsidRPr="00B50DCE">
              <w:rPr>
                <w:b/>
              </w:rPr>
              <w:t xml:space="preserve"> </w:t>
            </w:r>
            <w:proofErr w:type="spellStart"/>
            <w:r w:rsidR="00B50DCE" w:rsidRPr="00B50DCE">
              <w:rPr>
                <w:b/>
              </w:rPr>
              <w:t>įrodančius</w:t>
            </w:r>
            <w:proofErr w:type="spellEnd"/>
            <w:r w:rsidR="00B50DCE" w:rsidRPr="00B50DCE">
              <w:rPr>
                <w:b/>
              </w:rPr>
              <w:t xml:space="preserve"> </w:t>
            </w:r>
            <w:proofErr w:type="spellStart"/>
            <w:r w:rsidR="00B50DCE" w:rsidRPr="00B50DCE">
              <w:rPr>
                <w:b/>
              </w:rPr>
              <w:t>dokumentus</w:t>
            </w:r>
            <w:proofErr w:type="spellEnd"/>
            <w:r w:rsidR="00B50DCE" w:rsidRPr="00B50DCE">
              <w:rPr>
                <w:b/>
              </w:rPr>
              <w:t xml:space="preserve"> </w:t>
            </w:r>
            <w:proofErr w:type="spellStart"/>
            <w:r w:rsidR="00B50DCE" w:rsidRPr="00B50DCE">
              <w:rPr>
                <w:b/>
              </w:rPr>
              <w:t>t.y</w:t>
            </w:r>
            <w:proofErr w:type="spellEnd"/>
            <w:r w:rsidR="00B50DCE" w:rsidRPr="00B50DCE">
              <w:rPr>
                <w:b/>
              </w:rPr>
              <w:t>.</w:t>
            </w:r>
            <w:r w:rsidR="00B50DCE" w:rsidRPr="00B50DCE">
              <w:t xml:space="preserve"> </w:t>
            </w:r>
            <w:proofErr w:type="spellStart"/>
            <w:r w:rsidR="00B50DCE" w:rsidRPr="00B50DCE">
              <w:t>bandymų</w:t>
            </w:r>
            <w:proofErr w:type="spellEnd"/>
            <w:r w:rsidR="00B50DCE" w:rsidRPr="00B50DCE">
              <w:t xml:space="preserve"> </w:t>
            </w:r>
            <w:proofErr w:type="spellStart"/>
            <w:r w:rsidR="00B50DCE" w:rsidRPr="00B50DCE">
              <w:t>protokolą</w:t>
            </w:r>
            <w:proofErr w:type="spellEnd"/>
            <w:r w:rsidR="00B50DCE" w:rsidRPr="00B50DCE">
              <w:t xml:space="preserve"> </w:t>
            </w:r>
            <w:proofErr w:type="spellStart"/>
            <w:r w:rsidR="00B50DCE" w:rsidRPr="00B50DCE">
              <w:t>ar</w:t>
            </w:r>
            <w:proofErr w:type="spellEnd"/>
            <w:r w:rsidR="00B50DCE" w:rsidRPr="00B50DCE">
              <w:t xml:space="preserve"> </w:t>
            </w:r>
            <w:proofErr w:type="spellStart"/>
            <w:r w:rsidR="00B50DCE" w:rsidRPr="00B50DCE">
              <w:t>kitą</w:t>
            </w:r>
            <w:proofErr w:type="spellEnd"/>
            <w:r w:rsidR="00B50DCE" w:rsidRPr="00B50DCE">
              <w:t xml:space="preserve"> </w:t>
            </w:r>
            <w:proofErr w:type="spellStart"/>
            <w:r w:rsidR="00B50DCE" w:rsidRPr="00B50DCE">
              <w:t>lygiavertį</w:t>
            </w:r>
            <w:proofErr w:type="spellEnd"/>
            <w:r w:rsidR="00B50DCE" w:rsidRPr="00B50DCE">
              <w:t xml:space="preserve"> </w:t>
            </w:r>
            <w:proofErr w:type="spellStart"/>
            <w:r w:rsidR="00B50DCE" w:rsidRPr="00B50DCE">
              <w:t>dokumentą</w:t>
            </w:r>
            <w:proofErr w:type="spellEnd"/>
            <w:r w:rsidR="00B50DCE" w:rsidRPr="00B50DCE">
              <w:t>.</w:t>
            </w:r>
            <w:r w:rsidRPr="00B50DCE">
              <w:rPr>
                <w:rFonts w:eastAsia="Times New Roman"/>
                <w:lang w:val="lt-LT"/>
              </w:rPr>
              <w:t xml:space="preserve"> Baldas </w:t>
            </w:r>
            <w:r w:rsidRPr="00687B9A">
              <w:rPr>
                <w:rFonts w:eastAsia="Times New Roman"/>
                <w:lang w:val="lt-LT"/>
              </w:rPr>
              <w:t>turi būti su ne mažiau 6 metalinėmis kojelėmis, ne mažiau 100mm aukščio, ir kurių padas su apsauga nuo grindų braižymo. Kojelės tvirtinamos baldo dugne, tačiau turi būti suprojektuotos taip, kad dengtų dalį baldo šono – minkšta dalis tarsi įdėta į kojelių bloką (kaip pavaizduota asociatyvioje foto). Baldo spalva turi būti derinama su užsakovu renkantis iš ne mažiau kaip 5 spalvų.</w:t>
            </w:r>
          </w:p>
          <w:p w14:paraId="3303559C" w14:textId="209908D5" w:rsidR="00063D11" w:rsidRPr="00687B9A" w:rsidRDefault="00063D11" w:rsidP="00657202">
            <w:pPr>
              <w:jc w:val="both"/>
              <w:rPr>
                <w:rFonts w:eastAsia="Times New Roman"/>
                <w:i/>
                <w:lang w:val="lt-LT"/>
              </w:rPr>
            </w:pPr>
            <w:r w:rsidRPr="00687B9A">
              <w:rPr>
                <w:rFonts w:eastAsia="Times New Roman"/>
                <w:i/>
                <w:lang w:val="lt-LT"/>
              </w:rPr>
              <w:t>Asociatyvi foto:</w:t>
            </w:r>
          </w:p>
          <w:p w14:paraId="4CFB526C" w14:textId="77777777" w:rsidR="00063D11" w:rsidRPr="00687B9A" w:rsidRDefault="00063D11" w:rsidP="003E7BC6">
            <w:pPr>
              <w:jc w:val="both"/>
              <w:rPr>
                <w:noProof/>
                <w:lang w:val="lt-LT"/>
              </w:rPr>
            </w:pPr>
            <w:r w:rsidRPr="00687B9A">
              <w:rPr>
                <w:noProof/>
                <w:lang w:val="lt-LT"/>
              </w:rPr>
              <w:drawing>
                <wp:inline distT="0" distB="0" distL="0" distR="0" wp14:anchorId="28DC3C46" wp14:editId="241E8296">
                  <wp:extent cx="1001864" cy="65506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30187" cy="673584"/>
                          </a:xfrm>
                          <a:prstGeom prst="rect">
                            <a:avLst/>
                          </a:prstGeom>
                        </pic:spPr>
                      </pic:pic>
                    </a:graphicData>
                  </a:graphic>
                </wp:inline>
              </w:drawing>
            </w:r>
            <w:r w:rsidRPr="00687B9A">
              <w:rPr>
                <w:noProof/>
                <w:lang w:val="lt-LT"/>
              </w:rPr>
              <w:t xml:space="preserve"> </w:t>
            </w:r>
            <w:r w:rsidRPr="00687B9A">
              <w:rPr>
                <w:noProof/>
                <w:lang w:val="lt-LT"/>
              </w:rPr>
              <w:drawing>
                <wp:inline distT="0" distB="0" distL="0" distR="0" wp14:anchorId="50F66705" wp14:editId="05FFAD83">
                  <wp:extent cx="1424107" cy="779228"/>
                  <wp:effectExtent l="0" t="0" r="508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62545" cy="800260"/>
                          </a:xfrm>
                          <a:prstGeom prst="rect">
                            <a:avLst/>
                          </a:prstGeom>
                        </pic:spPr>
                      </pic:pic>
                    </a:graphicData>
                  </a:graphic>
                </wp:inline>
              </w:drawing>
            </w:r>
          </w:p>
          <w:p w14:paraId="72222B4A" w14:textId="77777777" w:rsidR="00063D11" w:rsidRPr="00687B9A" w:rsidRDefault="00063D11" w:rsidP="003E7BC6">
            <w:pPr>
              <w:jc w:val="both"/>
              <w:rPr>
                <w:rFonts w:eastAsia="Times New Roman"/>
                <w:i/>
                <w:lang w:val="lt-LT"/>
              </w:rPr>
            </w:pPr>
          </w:p>
          <w:p w14:paraId="528DAFFC" w14:textId="6095E940" w:rsidR="00063D11" w:rsidRPr="00687B9A" w:rsidRDefault="00063D11" w:rsidP="003E7BC6">
            <w:pPr>
              <w:jc w:val="both"/>
              <w:rPr>
                <w:rFonts w:eastAsia="Times New Roman"/>
                <w:i/>
                <w:lang w:val="lt-LT"/>
              </w:rPr>
            </w:pPr>
          </w:p>
        </w:tc>
        <w:tc>
          <w:tcPr>
            <w:tcW w:w="763" w:type="dxa"/>
            <w:vAlign w:val="center"/>
          </w:tcPr>
          <w:p w14:paraId="20A54166" w14:textId="7003C2AA" w:rsidR="00063D11" w:rsidRPr="00687B9A" w:rsidRDefault="00063D11" w:rsidP="000E7D58">
            <w:pPr>
              <w:jc w:val="center"/>
              <w:rPr>
                <w:lang w:val="lt-LT"/>
              </w:rPr>
            </w:pPr>
            <w:r w:rsidRPr="00687B9A">
              <w:rPr>
                <w:lang w:val="lt-LT"/>
              </w:rPr>
              <w:t>Vnt.</w:t>
            </w:r>
          </w:p>
        </w:tc>
        <w:tc>
          <w:tcPr>
            <w:tcW w:w="992" w:type="dxa"/>
            <w:vAlign w:val="center"/>
          </w:tcPr>
          <w:p w14:paraId="7ECA9A47" w14:textId="7A73EBEF" w:rsidR="00063D11" w:rsidRPr="00687B9A" w:rsidRDefault="00063D11" w:rsidP="000E7D58">
            <w:pPr>
              <w:jc w:val="center"/>
              <w:rPr>
                <w:lang w:val="lt-LT"/>
              </w:rPr>
            </w:pPr>
            <w:r w:rsidRPr="00687B9A">
              <w:rPr>
                <w:lang w:val="lt-LT"/>
              </w:rPr>
              <w:t>4</w:t>
            </w:r>
          </w:p>
        </w:tc>
      </w:tr>
      <w:tr w:rsidR="00063D11" w:rsidRPr="00687B9A" w14:paraId="24EC48B3" w14:textId="77777777" w:rsidTr="00063D11">
        <w:tc>
          <w:tcPr>
            <w:tcW w:w="654" w:type="dxa"/>
            <w:vAlign w:val="center"/>
          </w:tcPr>
          <w:p w14:paraId="2E032B6C" w14:textId="2B5B3C84" w:rsidR="00063D11" w:rsidRPr="00687B9A" w:rsidRDefault="00063D11" w:rsidP="000E7D58">
            <w:pPr>
              <w:jc w:val="center"/>
              <w:rPr>
                <w:b/>
                <w:lang w:val="lt-LT"/>
              </w:rPr>
            </w:pPr>
            <w:r w:rsidRPr="00687B9A">
              <w:rPr>
                <w:b/>
                <w:lang w:val="lt-LT"/>
              </w:rPr>
              <w:t>4.5.</w:t>
            </w:r>
          </w:p>
        </w:tc>
        <w:tc>
          <w:tcPr>
            <w:tcW w:w="11053" w:type="dxa"/>
            <w:vAlign w:val="center"/>
          </w:tcPr>
          <w:p w14:paraId="4D9D2C43" w14:textId="3E9C29C3" w:rsidR="00063D11" w:rsidRPr="00687B9A" w:rsidRDefault="00063D11" w:rsidP="003E7BC6">
            <w:pPr>
              <w:jc w:val="both"/>
              <w:rPr>
                <w:rFonts w:eastAsia="Times New Roman"/>
                <w:b/>
                <w:lang w:val="lt-LT"/>
              </w:rPr>
            </w:pPr>
            <w:r w:rsidRPr="00687B9A">
              <w:rPr>
                <w:rFonts w:eastAsia="Times New Roman"/>
                <w:b/>
                <w:lang w:val="lt-LT"/>
              </w:rPr>
              <w:t xml:space="preserve">Vienvietis minkštasuolis su atlošu EIF </w:t>
            </w:r>
          </w:p>
          <w:p w14:paraId="5404F38F" w14:textId="344D5CFB" w:rsidR="00063D11" w:rsidRPr="00687B9A" w:rsidRDefault="00063D11" w:rsidP="003E7BC6">
            <w:pPr>
              <w:jc w:val="both"/>
              <w:rPr>
                <w:rFonts w:eastAsia="Times New Roman"/>
                <w:lang w:val="lt-LT"/>
              </w:rPr>
            </w:pPr>
            <w:r w:rsidRPr="00687B9A">
              <w:rPr>
                <w:rFonts w:eastAsia="Times New Roman"/>
                <w:lang w:val="lt-LT"/>
              </w:rPr>
              <w:t xml:space="preserve">Minkštasuolis turi būti su atlošu, kurio matmenys turi būti ne mažesni nei: plotis 600mm, gylis 730mm, aukštis iki sėdimos dalies 420mm, atlošo – 800mm. Baldas turi būti pagamintas iš ne prastesnės medžiagos nei baldinė fanera bei mediena. Baldo sėdimosios dalies viršus ir dugnas pilnaviduriai, iš ne mažiau 12mm storio faneros, baldo šonai iš ne mažiau 3mm storio faneros, sustiprintos mediena. Baldas turi būti paminkštintas aukšto tankio porolonu – ne mažiau 42kg/m3 sėdimoji dalis ir ne mažiau 35kg/m3 šonai bei aptrauktas </w:t>
            </w:r>
            <w:proofErr w:type="spellStart"/>
            <w:r w:rsidRPr="00687B9A">
              <w:rPr>
                <w:rFonts w:eastAsia="Times New Roman"/>
                <w:lang w:val="lt-LT"/>
              </w:rPr>
              <w:t>ekooda</w:t>
            </w:r>
            <w:proofErr w:type="spellEnd"/>
            <w:r w:rsidRPr="00687B9A">
              <w:rPr>
                <w:rFonts w:eastAsia="Times New Roman"/>
                <w:lang w:val="lt-LT"/>
              </w:rPr>
              <w:t xml:space="preserve"> ar gobelenu (</w:t>
            </w:r>
            <w:r w:rsidRPr="00B50DCE">
              <w:rPr>
                <w:rFonts w:eastAsia="Times New Roman"/>
                <w:lang w:val="lt-LT"/>
              </w:rPr>
              <w:t xml:space="preserve">trynimo ciklai pagal </w:t>
            </w:r>
            <w:proofErr w:type="spellStart"/>
            <w:r w:rsidRPr="00B50DCE">
              <w:rPr>
                <w:rFonts w:eastAsia="Times New Roman"/>
                <w:lang w:val="lt-LT"/>
              </w:rPr>
              <w:t>Martindale</w:t>
            </w:r>
            <w:proofErr w:type="spellEnd"/>
            <w:r w:rsidRPr="00B50DCE">
              <w:rPr>
                <w:rFonts w:eastAsia="Times New Roman"/>
                <w:lang w:val="lt-LT"/>
              </w:rPr>
              <w:t xml:space="preserve"> arba analogišką skalę turi būti ne mažiau 100 000 ciklų). </w:t>
            </w:r>
            <w:proofErr w:type="spellStart"/>
            <w:r w:rsidR="00B50DCE" w:rsidRPr="00B50DCE">
              <w:rPr>
                <w:b/>
              </w:rPr>
              <w:t>Tiekėjas</w:t>
            </w:r>
            <w:proofErr w:type="spellEnd"/>
            <w:r w:rsidR="00B50DCE" w:rsidRPr="00771A91">
              <w:rPr>
                <w:b/>
                <w:color w:val="000000"/>
              </w:rPr>
              <w:t xml:space="preserve">, </w:t>
            </w:r>
            <w:proofErr w:type="spellStart"/>
            <w:r w:rsidR="00B50DCE" w:rsidRPr="00771A91">
              <w:rPr>
                <w:b/>
                <w:color w:val="000000"/>
              </w:rPr>
              <w:t>pripažintas</w:t>
            </w:r>
            <w:proofErr w:type="spellEnd"/>
            <w:r w:rsidR="00B50DCE" w:rsidRPr="00771A91">
              <w:rPr>
                <w:b/>
                <w:color w:val="000000"/>
              </w:rPr>
              <w:t xml:space="preserve"> </w:t>
            </w:r>
            <w:proofErr w:type="spellStart"/>
            <w:r w:rsidR="00B50DCE" w:rsidRPr="00771A91">
              <w:rPr>
                <w:b/>
                <w:color w:val="000000"/>
              </w:rPr>
              <w:t>galimu</w:t>
            </w:r>
            <w:proofErr w:type="spellEnd"/>
            <w:r w:rsidR="00B50DCE" w:rsidRPr="00771A91">
              <w:rPr>
                <w:b/>
                <w:color w:val="000000"/>
              </w:rPr>
              <w:t xml:space="preserve"> </w:t>
            </w:r>
            <w:proofErr w:type="spellStart"/>
            <w:r w:rsidR="00B50DCE" w:rsidRPr="00771A91">
              <w:rPr>
                <w:b/>
                <w:color w:val="000000"/>
              </w:rPr>
              <w:t>laimėtoju</w:t>
            </w:r>
            <w:proofErr w:type="spellEnd"/>
            <w:r w:rsidR="00B50DCE" w:rsidRPr="00771A91">
              <w:rPr>
                <w:b/>
                <w:color w:val="000000"/>
              </w:rPr>
              <w:t xml:space="preserve">, </w:t>
            </w:r>
            <w:proofErr w:type="spellStart"/>
            <w:r w:rsidR="00B50DCE" w:rsidRPr="00771A91">
              <w:rPr>
                <w:b/>
                <w:color w:val="000000"/>
              </w:rPr>
              <w:t>privalo</w:t>
            </w:r>
            <w:proofErr w:type="spellEnd"/>
            <w:r w:rsidR="00B50DCE" w:rsidRPr="00771A91">
              <w:rPr>
                <w:b/>
                <w:color w:val="000000"/>
              </w:rPr>
              <w:t xml:space="preserve"> </w:t>
            </w:r>
            <w:proofErr w:type="spellStart"/>
            <w:r w:rsidR="00B50DCE" w:rsidRPr="00771A91">
              <w:rPr>
                <w:b/>
                <w:color w:val="000000"/>
              </w:rPr>
              <w:t>pateikti</w:t>
            </w:r>
            <w:proofErr w:type="spellEnd"/>
            <w:r w:rsidR="00B50DCE" w:rsidRPr="00771A91">
              <w:rPr>
                <w:b/>
                <w:color w:val="000000"/>
              </w:rPr>
              <w:t xml:space="preserve"> </w:t>
            </w:r>
            <w:proofErr w:type="spellStart"/>
            <w:r w:rsidR="00B50DCE" w:rsidRPr="00771A91">
              <w:rPr>
                <w:b/>
                <w:color w:val="000000"/>
              </w:rPr>
              <w:t>atitiktį</w:t>
            </w:r>
            <w:proofErr w:type="spellEnd"/>
            <w:r w:rsidR="00B50DCE" w:rsidRPr="00771A91">
              <w:rPr>
                <w:b/>
                <w:color w:val="000000"/>
              </w:rPr>
              <w:t xml:space="preserve"> </w:t>
            </w:r>
            <w:proofErr w:type="spellStart"/>
            <w:r w:rsidR="00B50DCE" w:rsidRPr="00771A91">
              <w:rPr>
                <w:b/>
                <w:color w:val="000000"/>
              </w:rPr>
              <w:t>reikalavimams</w:t>
            </w:r>
            <w:proofErr w:type="spellEnd"/>
            <w:r w:rsidR="00B50DCE" w:rsidRPr="00771A91">
              <w:rPr>
                <w:b/>
                <w:color w:val="000000"/>
              </w:rPr>
              <w:t xml:space="preserve"> </w:t>
            </w:r>
            <w:proofErr w:type="spellStart"/>
            <w:r w:rsidR="00B50DCE" w:rsidRPr="00771A91">
              <w:rPr>
                <w:b/>
                <w:color w:val="000000"/>
              </w:rPr>
              <w:t>įrodančius</w:t>
            </w:r>
            <w:proofErr w:type="spellEnd"/>
            <w:r w:rsidR="00B50DCE" w:rsidRPr="00771A91">
              <w:rPr>
                <w:b/>
                <w:color w:val="000000"/>
              </w:rPr>
              <w:t xml:space="preserve"> </w:t>
            </w:r>
            <w:proofErr w:type="spellStart"/>
            <w:r w:rsidR="00B50DCE" w:rsidRPr="00771A91">
              <w:rPr>
                <w:b/>
                <w:color w:val="000000"/>
              </w:rPr>
              <w:t>dokumentus</w:t>
            </w:r>
            <w:proofErr w:type="spellEnd"/>
            <w:r w:rsidR="00B50DCE" w:rsidRPr="00771A91">
              <w:rPr>
                <w:b/>
                <w:color w:val="000000"/>
              </w:rPr>
              <w:t xml:space="preserve"> </w:t>
            </w:r>
            <w:proofErr w:type="spellStart"/>
            <w:r w:rsidR="00B50DCE" w:rsidRPr="00771A91">
              <w:rPr>
                <w:b/>
                <w:color w:val="000000"/>
              </w:rPr>
              <w:t>t.y</w:t>
            </w:r>
            <w:proofErr w:type="spellEnd"/>
            <w:r w:rsidR="00B50DCE" w:rsidRPr="00771A91">
              <w:rPr>
                <w:b/>
                <w:color w:val="000000"/>
              </w:rPr>
              <w:t>.</w:t>
            </w:r>
            <w:r w:rsidR="00B50DCE" w:rsidRPr="0024378B">
              <w:rPr>
                <w:color w:val="000000"/>
              </w:rPr>
              <w:t xml:space="preserve"> </w:t>
            </w:r>
            <w:proofErr w:type="spellStart"/>
            <w:r w:rsidR="00B50DCE" w:rsidRPr="0024378B">
              <w:rPr>
                <w:color w:val="000000"/>
              </w:rPr>
              <w:t>bandymų</w:t>
            </w:r>
            <w:proofErr w:type="spellEnd"/>
            <w:r w:rsidR="00B50DCE" w:rsidRPr="0024378B">
              <w:rPr>
                <w:color w:val="000000"/>
              </w:rPr>
              <w:t xml:space="preserve"> </w:t>
            </w:r>
            <w:proofErr w:type="spellStart"/>
            <w:r w:rsidR="00B50DCE" w:rsidRPr="0024378B">
              <w:rPr>
                <w:color w:val="000000"/>
              </w:rPr>
              <w:t>protokolą</w:t>
            </w:r>
            <w:proofErr w:type="spellEnd"/>
            <w:r w:rsidR="00B50DCE">
              <w:rPr>
                <w:color w:val="000000"/>
              </w:rPr>
              <w:t xml:space="preserve"> </w:t>
            </w:r>
            <w:proofErr w:type="spellStart"/>
            <w:r w:rsidR="00B50DCE">
              <w:rPr>
                <w:color w:val="000000"/>
              </w:rPr>
              <w:t>ar</w:t>
            </w:r>
            <w:proofErr w:type="spellEnd"/>
            <w:r w:rsidR="00B50DCE">
              <w:rPr>
                <w:color w:val="000000"/>
              </w:rPr>
              <w:t xml:space="preserve"> </w:t>
            </w:r>
            <w:proofErr w:type="spellStart"/>
            <w:r w:rsidR="00B50DCE">
              <w:rPr>
                <w:color w:val="000000"/>
              </w:rPr>
              <w:t>kitą</w:t>
            </w:r>
            <w:proofErr w:type="spellEnd"/>
            <w:r w:rsidR="00B50DCE">
              <w:rPr>
                <w:color w:val="000000"/>
              </w:rPr>
              <w:t xml:space="preserve"> </w:t>
            </w:r>
            <w:proofErr w:type="spellStart"/>
            <w:r w:rsidR="00B50DCE">
              <w:rPr>
                <w:color w:val="000000"/>
              </w:rPr>
              <w:t>lygiavertį</w:t>
            </w:r>
            <w:proofErr w:type="spellEnd"/>
            <w:r w:rsidR="00B50DCE">
              <w:rPr>
                <w:color w:val="000000"/>
              </w:rPr>
              <w:t xml:space="preserve"> </w:t>
            </w:r>
            <w:proofErr w:type="spellStart"/>
            <w:r w:rsidR="00B50DCE">
              <w:rPr>
                <w:color w:val="000000"/>
              </w:rPr>
              <w:t>dokumentą</w:t>
            </w:r>
            <w:proofErr w:type="spellEnd"/>
            <w:r w:rsidR="00B50DCE" w:rsidRPr="00687B9A">
              <w:rPr>
                <w:rFonts w:eastAsia="Times New Roman"/>
                <w:lang w:val="lt-LT"/>
              </w:rPr>
              <w:t xml:space="preserve"> </w:t>
            </w:r>
            <w:r w:rsidRPr="00687B9A">
              <w:rPr>
                <w:rFonts w:eastAsia="Times New Roman"/>
                <w:lang w:val="lt-LT"/>
              </w:rPr>
              <w:t>Baldas turi būti su ne mažiau 4 metalinėmis kojelėmis, ne mažiau 100mm aukščio, ir kurių padas su apsauga nuo grindų braižymo. Baldo spalva turi būti derinama su užsakovu renkantis iš ne mažiau kaip 5 spalvų</w:t>
            </w:r>
          </w:p>
          <w:p w14:paraId="599992CF" w14:textId="3A79032C" w:rsidR="00063D11" w:rsidRPr="00687B9A" w:rsidRDefault="00063D11" w:rsidP="003E7BC6">
            <w:pPr>
              <w:jc w:val="both"/>
              <w:rPr>
                <w:rFonts w:eastAsia="Times New Roman"/>
                <w:i/>
                <w:lang w:val="lt-LT"/>
              </w:rPr>
            </w:pPr>
            <w:r w:rsidRPr="00687B9A">
              <w:rPr>
                <w:rFonts w:eastAsia="Times New Roman"/>
                <w:i/>
                <w:lang w:val="lt-LT"/>
              </w:rPr>
              <w:t>Asociatyvi foto:</w:t>
            </w:r>
          </w:p>
          <w:p w14:paraId="4AA59FFB" w14:textId="2E9562D3" w:rsidR="00063D11" w:rsidRPr="00687B9A" w:rsidRDefault="00063D11" w:rsidP="003E7BC6">
            <w:pPr>
              <w:jc w:val="both"/>
              <w:rPr>
                <w:b/>
                <w:lang w:val="lt-LT"/>
              </w:rPr>
            </w:pPr>
            <w:r w:rsidRPr="00687B9A">
              <w:rPr>
                <w:noProof/>
                <w:lang w:val="lt-LT"/>
              </w:rPr>
              <w:lastRenderedPageBreak/>
              <w:drawing>
                <wp:inline distT="0" distB="0" distL="0" distR="0" wp14:anchorId="33FCF9C4" wp14:editId="47A82C3A">
                  <wp:extent cx="1001395" cy="987291"/>
                  <wp:effectExtent l="0" t="0" r="825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09644" cy="995424"/>
                          </a:xfrm>
                          <a:prstGeom prst="rect">
                            <a:avLst/>
                          </a:prstGeom>
                        </pic:spPr>
                      </pic:pic>
                    </a:graphicData>
                  </a:graphic>
                </wp:inline>
              </w:drawing>
            </w:r>
          </w:p>
        </w:tc>
        <w:tc>
          <w:tcPr>
            <w:tcW w:w="763" w:type="dxa"/>
            <w:vAlign w:val="center"/>
          </w:tcPr>
          <w:p w14:paraId="4EF7408A" w14:textId="16FCF5B6" w:rsidR="00063D11" w:rsidRPr="00687B9A" w:rsidRDefault="00063D11" w:rsidP="000E7D58">
            <w:pPr>
              <w:jc w:val="center"/>
              <w:rPr>
                <w:lang w:val="lt-LT"/>
              </w:rPr>
            </w:pPr>
            <w:r w:rsidRPr="00687B9A">
              <w:rPr>
                <w:lang w:val="lt-LT"/>
              </w:rPr>
              <w:lastRenderedPageBreak/>
              <w:t>Vnt.</w:t>
            </w:r>
          </w:p>
        </w:tc>
        <w:tc>
          <w:tcPr>
            <w:tcW w:w="992" w:type="dxa"/>
            <w:vAlign w:val="center"/>
          </w:tcPr>
          <w:p w14:paraId="7E73DE99" w14:textId="55E7990C" w:rsidR="00063D11" w:rsidRPr="00687B9A" w:rsidRDefault="00063D11" w:rsidP="000E7D58">
            <w:pPr>
              <w:jc w:val="center"/>
              <w:rPr>
                <w:lang w:val="lt-LT"/>
              </w:rPr>
            </w:pPr>
            <w:r w:rsidRPr="00687B9A">
              <w:rPr>
                <w:lang w:val="lt-LT"/>
              </w:rPr>
              <w:t>2</w:t>
            </w:r>
          </w:p>
        </w:tc>
      </w:tr>
      <w:tr w:rsidR="00063D11" w:rsidRPr="00687B9A" w14:paraId="45EC2EA6" w14:textId="77777777" w:rsidTr="00063D11">
        <w:tc>
          <w:tcPr>
            <w:tcW w:w="654" w:type="dxa"/>
            <w:vAlign w:val="center"/>
          </w:tcPr>
          <w:p w14:paraId="3D75C990" w14:textId="76196A97" w:rsidR="00063D11" w:rsidRPr="00687B9A" w:rsidRDefault="00063D11" w:rsidP="000E7D58">
            <w:pPr>
              <w:jc w:val="center"/>
              <w:rPr>
                <w:b/>
                <w:lang w:val="lt-LT"/>
              </w:rPr>
            </w:pPr>
            <w:r w:rsidRPr="00687B9A">
              <w:rPr>
                <w:b/>
                <w:lang w:val="lt-LT"/>
              </w:rPr>
              <w:t>4.6.</w:t>
            </w:r>
          </w:p>
        </w:tc>
        <w:tc>
          <w:tcPr>
            <w:tcW w:w="11053" w:type="dxa"/>
            <w:vAlign w:val="center"/>
          </w:tcPr>
          <w:p w14:paraId="7B15E028" w14:textId="4998F6D0" w:rsidR="00063D11" w:rsidRPr="00687B9A" w:rsidRDefault="00063D11" w:rsidP="003E7BC6">
            <w:pPr>
              <w:spacing w:line="256" w:lineRule="auto"/>
              <w:jc w:val="both"/>
              <w:rPr>
                <w:rFonts w:eastAsia="Times New Roman"/>
                <w:lang w:val="lt-LT"/>
              </w:rPr>
            </w:pPr>
            <w:r w:rsidRPr="00687B9A">
              <w:rPr>
                <w:rFonts w:eastAsia="Times New Roman"/>
                <w:b/>
                <w:lang w:val="lt-LT"/>
              </w:rPr>
              <w:t>Dvivietis minkštasuolis su atlošu EIF</w:t>
            </w:r>
            <w:r w:rsidRPr="00687B9A">
              <w:rPr>
                <w:rFonts w:eastAsia="Times New Roman"/>
                <w:lang w:val="lt-LT"/>
              </w:rPr>
              <w:t xml:space="preserve"> </w:t>
            </w:r>
          </w:p>
          <w:p w14:paraId="663B59A0" w14:textId="489712CE" w:rsidR="00063D11" w:rsidRPr="00687B9A" w:rsidRDefault="00063D11" w:rsidP="003E7BC6">
            <w:pPr>
              <w:spacing w:line="256" w:lineRule="auto"/>
              <w:jc w:val="both"/>
              <w:rPr>
                <w:rFonts w:eastAsia="Times New Roman"/>
                <w:lang w:val="lt-LT"/>
              </w:rPr>
            </w:pPr>
            <w:r w:rsidRPr="00687B9A">
              <w:rPr>
                <w:rFonts w:eastAsia="Times New Roman"/>
                <w:lang w:val="lt-LT"/>
              </w:rPr>
              <w:t xml:space="preserve">Minkštasuolis turi būti su atlošu, kurio matmenys turi būti ne mažesni nei: plotis 1200mm, gylis 730mm, aukštis iki sėdimos dalies 420mm, atlošo – 800mm. Baldas turi būti pagamintas iš ne prastesnės medžiagos nei baldinė fanera bei mediena. Baldo sėdimosios dalies viršus ir dugnas pilnaviduriai, iš ne mažiau 12mm storio faneros, baldo šonai </w:t>
            </w:r>
            <w:r w:rsidRPr="00B50DCE">
              <w:rPr>
                <w:rFonts w:eastAsia="Times New Roman"/>
                <w:lang w:val="lt-LT"/>
              </w:rPr>
              <w:t xml:space="preserve">iš ne mažiau 3mm storio faneros, sustiprintos mediena. Baldas turi būti paminkštintas aukšto tankio porolonu – ne mažiau 42kg/m3 sėdimoji dalis ir ne mažiau 35kg/m3 šonai bei  aptrauktas </w:t>
            </w:r>
            <w:proofErr w:type="spellStart"/>
            <w:r w:rsidRPr="00B50DCE">
              <w:rPr>
                <w:rFonts w:eastAsia="Times New Roman"/>
                <w:lang w:val="lt-LT"/>
              </w:rPr>
              <w:t>ekooda</w:t>
            </w:r>
            <w:proofErr w:type="spellEnd"/>
            <w:r w:rsidRPr="00B50DCE">
              <w:rPr>
                <w:rFonts w:eastAsia="Times New Roman"/>
                <w:lang w:val="lt-LT"/>
              </w:rPr>
              <w:t xml:space="preserve"> ar gobelenu (trynimo ciklai pagal </w:t>
            </w:r>
            <w:proofErr w:type="spellStart"/>
            <w:r w:rsidRPr="00B50DCE">
              <w:rPr>
                <w:rFonts w:eastAsia="Times New Roman"/>
                <w:lang w:val="lt-LT"/>
              </w:rPr>
              <w:t>Martindale</w:t>
            </w:r>
            <w:proofErr w:type="spellEnd"/>
            <w:r w:rsidRPr="00B50DCE">
              <w:rPr>
                <w:rFonts w:eastAsia="Times New Roman"/>
                <w:lang w:val="lt-LT"/>
              </w:rPr>
              <w:t xml:space="preserve"> arba analogišką skalę turi būti ne mažiau 100 000 ciklų). </w:t>
            </w:r>
            <w:proofErr w:type="spellStart"/>
            <w:r w:rsidR="00B50DCE" w:rsidRPr="00B50DCE">
              <w:rPr>
                <w:b/>
              </w:rPr>
              <w:t>Tiekėjas</w:t>
            </w:r>
            <w:proofErr w:type="spellEnd"/>
            <w:r w:rsidR="00B50DCE" w:rsidRPr="00771A91">
              <w:rPr>
                <w:b/>
                <w:color w:val="000000"/>
              </w:rPr>
              <w:t xml:space="preserve">, </w:t>
            </w:r>
            <w:proofErr w:type="spellStart"/>
            <w:r w:rsidR="00B50DCE" w:rsidRPr="00771A91">
              <w:rPr>
                <w:b/>
                <w:color w:val="000000"/>
              </w:rPr>
              <w:t>pripažintas</w:t>
            </w:r>
            <w:proofErr w:type="spellEnd"/>
            <w:r w:rsidR="00B50DCE" w:rsidRPr="00771A91">
              <w:rPr>
                <w:b/>
                <w:color w:val="000000"/>
              </w:rPr>
              <w:t xml:space="preserve"> </w:t>
            </w:r>
            <w:proofErr w:type="spellStart"/>
            <w:r w:rsidR="00B50DCE" w:rsidRPr="00771A91">
              <w:rPr>
                <w:b/>
                <w:color w:val="000000"/>
              </w:rPr>
              <w:t>galimu</w:t>
            </w:r>
            <w:proofErr w:type="spellEnd"/>
            <w:r w:rsidR="00B50DCE" w:rsidRPr="00771A91">
              <w:rPr>
                <w:b/>
                <w:color w:val="000000"/>
              </w:rPr>
              <w:t xml:space="preserve"> </w:t>
            </w:r>
            <w:proofErr w:type="spellStart"/>
            <w:r w:rsidR="00B50DCE" w:rsidRPr="00771A91">
              <w:rPr>
                <w:b/>
                <w:color w:val="000000"/>
              </w:rPr>
              <w:t>laimėtoju</w:t>
            </w:r>
            <w:proofErr w:type="spellEnd"/>
            <w:r w:rsidR="00B50DCE" w:rsidRPr="00771A91">
              <w:rPr>
                <w:b/>
                <w:color w:val="000000"/>
              </w:rPr>
              <w:t xml:space="preserve">, </w:t>
            </w:r>
            <w:proofErr w:type="spellStart"/>
            <w:r w:rsidR="00B50DCE" w:rsidRPr="00771A91">
              <w:rPr>
                <w:b/>
                <w:color w:val="000000"/>
              </w:rPr>
              <w:t>privalo</w:t>
            </w:r>
            <w:proofErr w:type="spellEnd"/>
            <w:r w:rsidR="00B50DCE" w:rsidRPr="00771A91">
              <w:rPr>
                <w:b/>
                <w:color w:val="000000"/>
              </w:rPr>
              <w:t xml:space="preserve"> </w:t>
            </w:r>
            <w:proofErr w:type="spellStart"/>
            <w:r w:rsidR="00B50DCE" w:rsidRPr="00771A91">
              <w:rPr>
                <w:b/>
                <w:color w:val="000000"/>
              </w:rPr>
              <w:t>pateikti</w:t>
            </w:r>
            <w:proofErr w:type="spellEnd"/>
            <w:r w:rsidR="00B50DCE" w:rsidRPr="00771A91">
              <w:rPr>
                <w:b/>
                <w:color w:val="000000"/>
              </w:rPr>
              <w:t xml:space="preserve"> </w:t>
            </w:r>
            <w:proofErr w:type="spellStart"/>
            <w:r w:rsidR="00B50DCE" w:rsidRPr="00771A91">
              <w:rPr>
                <w:b/>
                <w:color w:val="000000"/>
              </w:rPr>
              <w:t>atitiktį</w:t>
            </w:r>
            <w:proofErr w:type="spellEnd"/>
            <w:r w:rsidR="00B50DCE" w:rsidRPr="00771A91">
              <w:rPr>
                <w:b/>
                <w:color w:val="000000"/>
              </w:rPr>
              <w:t xml:space="preserve"> </w:t>
            </w:r>
            <w:proofErr w:type="spellStart"/>
            <w:r w:rsidR="00B50DCE" w:rsidRPr="00771A91">
              <w:rPr>
                <w:b/>
                <w:color w:val="000000"/>
              </w:rPr>
              <w:t>reikalavimams</w:t>
            </w:r>
            <w:proofErr w:type="spellEnd"/>
            <w:r w:rsidR="00B50DCE" w:rsidRPr="00771A91">
              <w:rPr>
                <w:b/>
                <w:color w:val="000000"/>
              </w:rPr>
              <w:t xml:space="preserve"> </w:t>
            </w:r>
            <w:proofErr w:type="spellStart"/>
            <w:r w:rsidR="00B50DCE" w:rsidRPr="00771A91">
              <w:rPr>
                <w:b/>
                <w:color w:val="000000"/>
              </w:rPr>
              <w:t>įrodančius</w:t>
            </w:r>
            <w:proofErr w:type="spellEnd"/>
            <w:r w:rsidR="00B50DCE" w:rsidRPr="00771A91">
              <w:rPr>
                <w:b/>
                <w:color w:val="000000"/>
              </w:rPr>
              <w:t xml:space="preserve"> </w:t>
            </w:r>
            <w:proofErr w:type="spellStart"/>
            <w:r w:rsidR="00B50DCE" w:rsidRPr="00771A91">
              <w:rPr>
                <w:b/>
                <w:color w:val="000000"/>
              </w:rPr>
              <w:t>dokumentus</w:t>
            </w:r>
            <w:proofErr w:type="spellEnd"/>
            <w:r w:rsidR="00B50DCE" w:rsidRPr="00771A91">
              <w:rPr>
                <w:b/>
                <w:color w:val="000000"/>
              </w:rPr>
              <w:t xml:space="preserve"> </w:t>
            </w:r>
            <w:proofErr w:type="spellStart"/>
            <w:r w:rsidR="00B50DCE" w:rsidRPr="00771A91">
              <w:rPr>
                <w:b/>
                <w:color w:val="000000"/>
              </w:rPr>
              <w:t>t.y</w:t>
            </w:r>
            <w:proofErr w:type="spellEnd"/>
            <w:r w:rsidR="00B50DCE" w:rsidRPr="00771A91">
              <w:rPr>
                <w:b/>
                <w:color w:val="000000"/>
              </w:rPr>
              <w:t>.</w:t>
            </w:r>
            <w:r w:rsidR="00B50DCE" w:rsidRPr="0024378B">
              <w:rPr>
                <w:color w:val="000000"/>
              </w:rPr>
              <w:t xml:space="preserve"> </w:t>
            </w:r>
            <w:proofErr w:type="spellStart"/>
            <w:r w:rsidR="00B50DCE" w:rsidRPr="0024378B">
              <w:rPr>
                <w:color w:val="000000"/>
              </w:rPr>
              <w:t>bandymų</w:t>
            </w:r>
            <w:proofErr w:type="spellEnd"/>
            <w:r w:rsidR="00B50DCE" w:rsidRPr="0024378B">
              <w:rPr>
                <w:color w:val="000000"/>
              </w:rPr>
              <w:t xml:space="preserve"> </w:t>
            </w:r>
            <w:proofErr w:type="spellStart"/>
            <w:r w:rsidR="00B50DCE" w:rsidRPr="0024378B">
              <w:rPr>
                <w:color w:val="000000"/>
              </w:rPr>
              <w:t>protokolą</w:t>
            </w:r>
            <w:proofErr w:type="spellEnd"/>
            <w:r w:rsidR="00B50DCE">
              <w:rPr>
                <w:color w:val="000000"/>
              </w:rPr>
              <w:t xml:space="preserve"> </w:t>
            </w:r>
            <w:proofErr w:type="spellStart"/>
            <w:r w:rsidR="00B50DCE">
              <w:rPr>
                <w:color w:val="000000"/>
              </w:rPr>
              <w:t>ar</w:t>
            </w:r>
            <w:proofErr w:type="spellEnd"/>
            <w:r w:rsidR="00B50DCE">
              <w:rPr>
                <w:color w:val="000000"/>
              </w:rPr>
              <w:t xml:space="preserve"> </w:t>
            </w:r>
            <w:proofErr w:type="spellStart"/>
            <w:r w:rsidR="00B50DCE">
              <w:rPr>
                <w:color w:val="000000"/>
              </w:rPr>
              <w:t>kitą</w:t>
            </w:r>
            <w:proofErr w:type="spellEnd"/>
            <w:r w:rsidR="00B50DCE">
              <w:rPr>
                <w:color w:val="000000"/>
              </w:rPr>
              <w:t xml:space="preserve"> </w:t>
            </w:r>
            <w:proofErr w:type="spellStart"/>
            <w:r w:rsidR="00B50DCE">
              <w:rPr>
                <w:color w:val="000000"/>
              </w:rPr>
              <w:t>lygiavertį</w:t>
            </w:r>
            <w:proofErr w:type="spellEnd"/>
            <w:r w:rsidR="00B50DCE">
              <w:rPr>
                <w:color w:val="000000"/>
              </w:rPr>
              <w:t xml:space="preserve"> </w:t>
            </w:r>
            <w:proofErr w:type="spellStart"/>
            <w:r w:rsidR="00B50DCE">
              <w:rPr>
                <w:color w:val="000000"/>
              </w:rPr>
              <w:t>dokumentą</w:t>
            </w:r>
            <w:proofErr w:type="spellEnd"/>
            <w:r w:rsidR="00B50DCE" w:rsidRPr="00687B9A">
              <w:rPr>
                <w:rFonts w:eastAsia="Times New Roman"/>
                <w:lang w:val="lt-LT"/>
              </w:rPr>
              <w:t xml:space="preserve"> </w:t>
            </w:r>
            <w:r w:rsidRPr="00687B9A">
              <w:rPr>
                <w:rFonts w:eastAsia="Times New Roman"/>
                <w:lang w:val="lt-LT"/>
              </w:rPr>
              <w:t xml:space="preserve">Baldas su ne mažiau 4 metalinėmis kojelėmis, ne mažiau 100mm aukščio, ir kurių padas su apsauga nuo grindų braižymo. Baldo spalva turi būti derinama su užsakovu renkantis iš ne mažiau kaip 5 spalvų. </w:t>
            </w:r>
          </w:p>
          <w:p w14:paraId="4805E1B6" w14:textId="04F5A30E" w:rsidR="00063D11" w:rsidRPr="00687B9A" w:rsidRDefault="00063D11" w:rsidP="003E7BC6">
            <w:pPr>
              <w:spacing w:line="256" w:lineRule="auto"/>
              <w:jc w:val="both"/>
              <w:rPr>
                <w:rFonts w:eastAsia="Times New Roman"/>
                <w:i/>
                <w:lang w:val="lt-LT"/>
              </w:rPr>
            </w:pPr>
            <w:r w:rsidRPr="00687B9A">
              <w:rPr>
                <w:rFonts w:eastAsia="Times New Roman"/>
                <w:i/>
                <w:lang w:val="lt-LT"/>
              </w:rPr>
              <w:t>Asociatyvi foto:</w:t>
            </w:r>
          </w:p>
          <w:p w14:paraId="6AC2691C" w14:textId="17A54A60" w:rsidR="00063D11" w:rsidRPr="00687B9A" w:rsidRDefault="00063D11" w:rsidP="00FD3225">
            <w:pPr>
              <w:spacing w:line="256" w:lineRule="auto"/>
              <w:jc w:val="both"/>
              <w:rPr>
                <w:rFonts w:eastAsia="Calibri"/>
                <w:b/>
                <w:lang w:val="lt-LT"/>
              </w:rPr>
            </w:pPr>
            <w:r w:rsidRPr="00687B9A">
              <w:rPr>
                <w:noProof/>
                <w:lang w:val="lt-LT"/>
              </w:rPr>
              <w:drawing>
                <wp:inline distT="0" distB="0" distL="0" distR="0" wp14:anchorId="2924E8D6" wp14:editId="2E23E8DD">
                  <wp:extent cx="1248354" cy="100828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62866" cy="1020007"/>
                          </a:xfrm>
                          <a:prstGeom prst="rect">
                            <a:avLst/>
                          </a:prstGeom>
                        </pic:spPr>
                      </pic:pic>
                    </a:graphicData>
                  </a:graphic>
                </wp:inline>
              </w:drawing>
            </w:r>
          </w:p>
        </w:tc>
        <w:tc>
          <w:tcPr>
            <w:tcW w:w="763" w:type="dxa"/>
            <w:vAlign w:val="center"/>
          </w:tcPr>
          <w:p w14:paraId="3F47422B" w14:textId="22795379" w:rsidR="00063D11" w:rsidRPr="00687B9A" w:rsidRDefault="00063D11" w:rsidP="000E7D58">
            <w:pPr>
              <w:jc w:val="center"/>
              <w:rPr>
                <w:lang w:val="lt-LT"/>
              </w:rPr>
            </w:pPr>
            <w:r w:rsidRPr="00687B9A">
              <w:rPr>
                <w:lang w:val="lt-LT"/>
              </w:rPr>
              <w:t>Vnt.</w:t>
            </w:r>
          </w:p>
        </w:tc>
        <w:tc>
          <w:tcPr>
            <w:tcW w:w="992" w:type="dxa"/>
            <w:vAlign w:val="center"/>
          </w:tcPr>
          <w:p w14:paraId="2BC25426" w14:textId="0A0A6476" w:rsidR="00063D11" w:rsidRPr="00687B9A" w:rsidRDefault="00063D11" w:rsidP="000E7D58">
            <w:pPr>
              <w:jc w:val="center"/>
              <w:rPr>
                <w:lang w:val="lt-LT"/>
              </w:rPr>
            </w:pPr>
            <w:r w:rsidRPr="00687B9A">
              <w:rPr>
                <w:lang w:val="lt-LT"/>
              </w:rPr>
              <w:t>1</w:t>
            </w:r>
          </w:p>
        </w:tc>
      </w:tr>
    </w:tbl>
    <w:p w14:paraId="6B6F7251" w14:textId="77777777" w:rsidR="00A06D23" w:rsidRPr="00687B9A" w:rsidRDefault="00A06D23" w:rsidP="00764C9A">
      <w:pPr>
        <w:rPr>
          <w:b/>
          <w:lang w:val="lt-LT"/>
        </w:rPr>
      </w:pPr>
    </w:p>
    <w:sectPr w:rsidR="00A06D23" w:rsidRPr="00687B9A" w:rsidSect="00764C9A">
      <w:headerReference w:type="even" r:id="rId17"/>
      <w:headerReference w:type="default" r:id="rId18"/>
      <w:footerReference w:type="even" r:id="rId19"/>
      <w:footerReference w:type="default" r:id="rId20"/>
      <w:headerReference w:type="first" r:id="rId21"/>
      <w:footerReference w:type="first" r:id="rId22"/>
      <w:pgSz w:w="15840" w:h="12240" w:orient="landscape"/>
      <w:pgMar w:top="993" w:right="1098"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2FBA" w14:textId="77777777" w:rsidR="00604528" w:rsidRDefault="00604528" w:rsidP="00604734">
      <w:pPr>
        <w:spacing w:after="0" w:line="240" w:lineRule="auto"/>
      </w:pPr>
      <w:r>
        <w:separator/>
      </w:r>
    </w:p>
  </w:endnote>
  <w:endnote w:type="continuationSeparator" w:id="0">
    <w:p w14:paraId="76ECB63B" w14:textId="77777777" w:rsidR="00604528" w:rsidRDefault="00604528" w:rsidP="0060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F7BC" w14:textId="77777777" w:rsidR="00604734" w:rsidRDefault="00604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74D6" w14:textId="77777777" w:rsidR="00604734" w:rsidRDefault="00604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BFF2" w14:textId="77777777" w:rsidR="00604734" w:rsidRDefault="0060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E5CF4" w14:textId="77777777" w:rsidR="00604528" w:rsidRDefault="00604528" w:rsidP="00604734">
      <w:pPr>
        <w:spacing w:after="0" w:line="240" w:lineRule="auto"/>
      </w:pPr>
      <w:r>
        <w:separator/>
      </w:r>
    </w:p>
  </w:footnote>
  <w:footnote w:type="continuationSeparator" w:id="0">
    <w:p w14:paraId="38B18B4A" w14:textId="77777777" w:rsidR="00604528" w:rsidRDefault="00604528" w:rsidP="00604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D4BD0" w14:textId="77777777" w:rsidR="00604734" w:rsidRDefault="00604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7DC5" w14:textId="77777777" w:rsidR="00604734" w:rsidRDefault="00604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CB70" w14:textId="77777777" w:rsidR="00604734" w:rsidRDefault="0060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600B"/>
    <w:multiLevelType w:val="hybridMultilevel"/>
    <w:tmpl w:val="A5460B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7B4E24"/>
    <w:multiLevelType w:val="hybridMultilevel"/>
    <w:tmpl w:val="185CC9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A55193"/>
    <w:multiLevelType w:val="hybridMultilevel"/>
    <w:tmpl w:val="5B94B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52B45A1"/>
    <w:multiLevelType w:val="hybridMultilevel"/>
    <w:tmpl w:val="D5CA1D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1A70B4"/>
    <w:multiLevelType w:val="hybridMultilevel"/>
    <w:tmpl w:val="FA60F8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1E7926"/>
    <w:multiLevelType w:val="hybridMultilevel"/>
    <w:tmpl w:val="D8061B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23E5734"/>
    <w:multiLevelType w:val="hybridMultilevel"/>
    <w:tmpl w:val="07E8B4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7952C65"/>
    <w:multiLevelType w:val="hybridMultilevel"/>
    <w:tmpl w:val="C7C8EEC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AB52375"/>
    <w:multiLevelType w:val="multilevel"/>
    <w:tmpl w:val="CEE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47644B"/>
    <w:multiLevelType w:val="multilevel"/>
    <w:tmpl w:val="A874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001BB2"/>
    <w:multiLevelType w:val="hybridMultilevel"/>
    <w:tmpl w:val="4DD2FE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DE13FDF"/>
    <w:multiLevelType w:val="hybridMultilevel"/>
    <w:tmpl w:val="FDAA05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EF905A6"/>
    <w:multiLevelType w:val="multilevel"/>
    <w:tmpl w:val="C904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E1960"/>
    <w:multiLevelType w:val="multilevel"/>
    <w:tmpl w:val="64C4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C563A5"/>
    <w:multiLevelType w:val="hybridMultilevel"/>
    <w:tmpl w:val="09101C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ED04176"/>
    <w:multiLevelType w:val="hybridMultilevel"/>
    <w:tmpl w:val="6EE85AE4"/>
    <w:lvl w:ilvl="0" w:tplc="04270001">
      <w:start w:val="1"/>
      <w:numFmt w:val="bullet"/>
      <w:lvlText w:val=""/>
      <w:lvlJc w:val="left"/>
      <w:pPr>
        <w:ind w:left="720" w:hanging="360"/>
      </w:pPr>
      <w:rPr>
        <w:rFonts w:ascii="Symbol" w:hAnsi="Symbol" w:hint="default"/>
      </w:rPr>
    </w:lvl>
    <w:lvl w:ilvl="1" w:tplc="7772B51E">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0D52AB"/>
    <w:multiLevelType w:val="multilevel"/>
    <w:tmpl w:val="3DA2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52236A"/>
    <w:multiLevelType w:val="hybridMultilevel"/>
    <w:tmpl w:val="09101C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4C140E6"/>
    <w:multiLevelType w:val="hybridMultilevel"/>
    <w:tmpl w:val="E4C87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5B11CCC"/>
    <w:multiLevelType w:val="hybridMultilevel"/>
    <w:tmpl w:val="F0E29D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9F41BD2"/>
    <w:multiLevelType w:val="multilevel"/>
    <w:tmpl w:val="0794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384686"/>
    <w:multiLevelType w:val="hybridMultilevel"/>
    <w:tmpl w:val="65EC90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1390DB2"/>
    <w:multiLevelType w:val="multilevel"/>
    <w:tmpl w:val="525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7F67FD"/>
    <w:multiLevelType w:val="hybridMultilevel"/>
    <w:tmpl w:val="07E8B4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67A03C0"/>
    <w:multiLevelType w:val="hybridMultilevel"/>
    <w:tmpl w:val="A96AB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5"/>
  </w:num>
  <w:num w:numId="3">
    <w:abstractNumId w:val="10"/>
  </w:num>
  <w:num w:numId="4">
    <w:abstractNumId w:val="14"/>
  </w:num>
  <w:num w:numId="5">
    <w:abstractNumId w:val="17"/>
  </w:num>
  <w:num w:numId="6">
    <w:abstractNumId w:val="19"/>
  </w:num>
  <w:num w:numId="7">
    <w:abstractNumId w:val="2"/>
  </w:num>
  <w:num w:numId="8">
    <w:abstractNumId w:val="4"/>
  </w:num>
  <w:num w:numId="9">
    <w:abstractNumId w:val="7"/>
  </w:num>
  <w:num w:numId="10">
    <w:abstractNumId w:val="18"/>
  </w:num>
  <w:num w:numId="11">
    <w:abstractNumId w:val="23"/>
  </w:num>
  <w:num w:numId="12">
    <w:abstractNumId w:val="6"/>
  </w:num>
  <w:num w:numId="13">
    <w:abstractNumId w:val="21"/>
  </w:num>
  <w:num w:numId="14">
    <w:abstractNumId w:val="3"/>
  </w:num>
  <w:num w:numId="15">
    <w:abstractNumId w:val="5"/>
  </w:num>
  <w:num w:numId="16">
    <w:abstractNumId w:val="1"/>
  </w:num>
  <w:num w:numId="17">
    <w:abstractNumId w:val="11"/>
  </w:num>
  <w:num w:numId="18">
    <w:abstractNumId w:val="20"/>
  </w:num>
  <w:num w:numId="19">
    <w:abstractNumId w:val="22"/>
  </w:num>
  <w:num w:numId="20">
    <w:abstractNumId w:val="9"/>
  </w:num>
  <w:num w:numId="21">
    <w:abstractNumId w:val="13"/>
  </w:num>
  <w:num w:numId="22">
    <w:abstractNumId w:val="16"/>
  </w:num>
  <w:num w:numId="23">
    <w:abstractNumId w:val="8"/>
  </w:num>
  <w:num w:numId="24">
    <w:abstractNumId w:val="1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F2"/>
    <w:rsid w:val="000075E0"/>
    <w:rsid w:val="0002278D"/>
    <w:rsid w:val="000231C0"/>
    <w:rsid w:val="00026A12"/>
    <w:rsid w:val="00027655"/>
    <w:rsid w:val="0003680B"/>
    <w:rsid w:val="000374F7"/>
    <w:rsid w:val="00050B5F"/>
    <w:rsid w:val="00056EA1"/>
    <w:rsid w:val="00063D11"/>
    <w:rsid w:val="00074D94"/>
    <w:rsid w:val="000818D9"/>
    <w:rsid w:val="00081DC0"/>
    <w:rsid w:val="000B1F17"/>
    <w:rsid w:val="000B4948"/>
    <w:rsid w:val="000B7D66"/>
    <w:rsid w:val="000C0DAF"/>
    <w:rsid w:val="000C770D"/>
    <w:rsid w:val="000D1A76"/>
    <w:rsid w:val="000D2C09"/>
    <w:rsid w:val="000D6550"/>
    <w:rsid w:val="000E1642"/>
    <w:rsid w:val="000E7D58"/>
    <w:rsid w:val="000F25EE"/>
    <w:rsid w:val="001020B7"/>
    <w:rsid w:val="0010481B"/>
    <w:rsid w:val="00110FE2"/>
    <w:rsid w:val="00117909"/>
    <w:rsid w:val="0013489B"/>
    <w:rsid w:val="001447A2"/>
    <w:rsid w:val="001469EB"/>
    <w:rsid w:val="0017369D"/>
    <w:rsid w:val="00174320"/>
    <w:rsid w:val="001830E3"/>
    <w:rsid w:val="0018462D"/>
    <w:rsid w:val="00192CCE"/>
    <w:rsid w:val="001A501F"/>
    <w:rsid w:val="001C6DBE"/>
    <w:rsid w:val="001D08F1"/>
    <w:rsid w:val="0020494E"/>
    <w:rsid w:val="00206A7B"/>
    <w:rsid w:val="002165E4"/>
    <w:rsid w:val="002220F8"/>
    <w:rsid w:val="00222BF5"/>
    <w:rsid w:val="00244495"/>
    <w:rsid w:val="002613E8"/>
    <w:rsid w:val="00294F3A"/>
    <w:rsid w:val="002965DD"/>
    <w:rsid w:val="002A1AFD"/>
    <w:rsid w:val="002B5EB3"/>
    <w:rsid w:val="002C1690"/>
    <w:rsid w:val="002E2B74"/>
    <w:rsid w:val="002F6B0F"/>
    <w:rsid w:val="0031731B"/>
    <w:rsid w:val="00344C0D"/>
    <w:rsid w:val="00360564"/>
    <w:rsid w:val="00362B24"/>
    <w:rsid w:val="003A2826"/>
    <w:rsid w:val="003C0C68"/>
    <w:rsid w:val="003C56E6"/>
    <w:rsid w:val="003D2E2D"/>
    <w:rsid w:val="003D6F20"/>
    <w:rsid w:val="003E45BE"/>
    <w:rsid w:val="003E5E07"/>
    <w:rsid w:val="003E7BC6"/>
    <w:rsid w:val="003F0D0A"/>
    <w:rsid w:val="0040069D"/>
    <w:rsid w:val="004128AB"/>
    <w:rsid w:val="0042559B"/>
    <w:rsid w:val="004463CF"/>
    <w:rsid w:val="00447DD4"/>
    <w:rsid w:val="0047089E"/>
    <w:rsid w:val="00484242"/>
    <w:rsid w:val="00492BF2"/>
    <w:rsid w:val="004A6C98"/>
    <w:rsid w:val="004B02BF"/>
    <w:rsid w:val="004B1C4C"/>
    <w:rsid w:val="004B4D28"/>
    <w:rsid w:val="00506C9A"/>
    <w:rsid w:val="0050791C"/>
    <w:rsid w:val="00520FCD"/>
    <w:rsid w:val="0052672A"/>
    <w:rsid w:val="00530548"/>
    <w:rsid w:val="005340A4"/>
    <w:rsid w:val="00534502"/>
    <w:rsid w:val="005379B5"/>
    <w:rsid w:val="005445B8"/>
    <w:rsid w:val="0054658E"/>
    <w:rsid w:val="005508A8"/>
    <w:rsid w:val="005673A3"/>
    <w:rsid w:val="00571CC4"/>
    <w:rsid w:val="00573E1E"/>
    <w:rsid w:val="00586DF0"/>
    <w:rsid w:val="005B2265"/>
    <w:rsid w:val="005C34B0"/>
    <w:rsid w:val="005E042F"/>
    <w:rsid w:val="005E05D2"/>
    <w:rsid w:val="005E2D63"/>
    <w:rsid w:val="005F41A4"/>
    <w:rsid w:val="0060078E"/>
    <w:rsid w:val="00604528"/>
    <w:rsid w:val="00604734"/>
    <w:rsid w:val="00612C10"/>
    <w:rsid w:val="00616E05"/>
    <w:rsid w:val="00636452"/>
    <w:rsid w:val="00641F57"/>
    <w:rsid w:val="00647554"/>
    <w:rsid w:val="00652058"/>
    <w:rsid w:val="00653D9A"/>
    <w:rsid w:val="00657202"/>
    <w:rsid w:val="00661296"/>
    <w:rsid w:val="00663499"/>
    <w:rsid w:val="00664965"/>
    <w:rsid w:val="00667718"/>
    <w:rsid w:val="00674A67"/>
    <w:rsid w:val="006852A3"/>
    <w:rsid w:val="00687B9A"/>
    <w:rsid w:val="00693C71"/>
    <w:rsid w:val="0069776E"/>
    <w:rsid w:val="006A579A"/>
    <w:rsid w:val="006A757C"/>
    <w:rsid w:val="006D462E"/>
    <w:rsid w:val="006E32E4"/>
    <w:rsid w:val="006F6989"/>
    <w:rsid w:val="007270F1"/>
    <w:rsid w:val="00764C9A"/>
    <w:rsid w:val="00767BD4"/>
    <w:rsid w:val="00772B57"/>
    <w:rsid w:val="00795AFA"/>
    <w:rsid w:val="007D3021"/>
    <w:rsid w:val="007E3396"/>
    <w:rsid w:val="00810A57"/>
    <w:rsid w:val="008115D4"/>
    <w:rsid w:val="00826157"/>
    <w:rsid w:val="008307E4"/>
    <w:rsid w:val="00842444"/>
    <w:rsid w:val="00851C2A"/>
    <w:rsid w:val="00886B5D"/>
    <w:rsid w:val="008912FE"/>
    <w:rsid w:val="00893751"/>
    <w:rsid w:val="00895C88"/>
    <w:rsid w:val="008A5709"/>
    <w:rsid w:val="008E038C"/>
    <w:rsid w:val="008E24A8"/>
    <w:rsid w:val="008E5613"/>
    <w:rsid w:val="008E65C8"/>
    <w:rsid w:val="008F3FB7"/>
    <w:rsid w:val="00910986"/>
    <w:rsid w:val="009439AE"/>
    <w:rsid w:val="00970AC3"/>
    <w:rsid w:val="009730E0"/>
    <w:rsid w:val="0097319C"/>
    <w:rsid w:val="00981381"/>
    <w:rsid w:val="0098522E"/>
    <w:rsid w:val="00994411"/>
    <w:rsid w:val="009B380D"/>
    <w:rsid w:val="009C4B92"/>
    <w:rsid w:val="009C6265"/>
    <w:rsid w:val="009C6C9D"/>
    <w:rsid w:val="00A02E44"/>
    <w:rsid w:val="00A06D23"/>
    <w:rsid w:val="00A15205"/>
    <w:rsid w:val="00A238A7"/>
    <w:rsid w:val="00A25057"/>
    <w:rsid w:val="00A3418F"/>
    <w:rsid w:val="00A501BB"/>
    <w:rsid w:val="00A6178C"/>
    <w:rsid w:val="00A709F2"/>
    <w:rsid w:val="00A754C6"/>
    <w:rsid w:val="00A75BF6"/>
    <w:rsid w:val="00A857D1"/>
    <w:rsid w:val="00A912E3"/>
    <w:rsid w:val="00A94166"/>
    <w:rsid w:val="00AB6162"/>
    <w:rsid w:val="00AC43D7"/>
    <w:rsid w:val="00AE42F2"/>
    <w:rsid w:val="00AF0526"/>
    <w:rsid w:val="00AF2A98"/>
    <w:rsid w:val="00AF456E"/>
    <w:rsid w:val="00AF71FD"/>
    <w:rsid w:val="00B0199F"/>
    <w:rsid w:val="00B105C1"/>
    <w:rsid w:val="00B21EAF"/>
    <w:rsid w:val="00B31D03"/>
    <w:rsid w:val="00B432AD"/>
    <w:rsid w:val="00B50DCE"/>
    <w:rsid w:val="00BB213A"/>
    <w:rsid w:val="00BC39C9"/>
    <w:rsid w:val="00BC6778"/>
    <w:rsid w:val="00BD2E65"/>
    <w:rsid w:val="00BF1F88"/>
    <w:rsid w:val="00C0294E"/>
    <w:rsid w:val="00C06197"/>
    <w:rsid w:val="00C1719F"/>
    <w:rsid w:val="00C278B4"/>
    <w:rsid w:val="00C31C17"/>
    <w:rsid w:val="00C57EB6"/>
    <w:rsid w:val="00C660BF"/>
    <w:rsid w:val="00C85E89"/>
    <w:rsid w:val="00C86FDE"/>
    <w:rsid w:val="00C87C59"/>
    <w:rsid w:val="00C91A8D"/>
    <w:rsid w:val="00C96A26"/>
    <w:rsid w:val="00C96D67"/>
    <w:rsid w:val="00CA5B06"/>
    <w:rsid w:val="00CB140C"/>
    <w:rsid w:val="00CC6E11"/>
    <w:rsid w:val="00CF06C4"/>
    <w:rsid w:val="00CF0FBF"/>
    <w:rsid w:val="00D06664"/>
    <w:rsid w:val="00D06B28"/>
    <w:rsid w:val="00D06DD1"/>
    <w:rsid w:val="00D06E63"/>
    <w:rsid w:val="00D106E5"/>
    <w:rsid w:val="00D14C92"/>
    <w:rsid w:val="00D23DF9"/>
    <w:rsid w:val="00D2429A"/>
    <w:rsid w:val="00D26818"/>
    <w:rsid w:val="00D42B8A"/>
    <w:rsid w:val="00D601D5"/>
    <w:rsid w:val="00D635A1"/>
    <w:rsid w:val="00D70686"/>
    <w:rsid w:val="00D73B09"/>
    <w:rsid w:val="00D8261B"/>
    <w:rsid w:val="00D96A9C"/>
    <w:rsid w:val="00D9771E"/>
    <w:rsid w:val="00DA1599"/>
    <w:rsid w:val="00DC16A4"/>
    <w:rsid w:val="00DC3FFF"/>
    <w:rsid w:val="00DC7D1F"/>
    <w:rsid w:val="00DF7FBF"/>
    <w:rsid w:val="00E11FB6"/>
    <w:rsid w:val="00E201EB"/>
    <w:rsid w:val="00E27929"/>
    <w:rsid w:val="00E455F4"/>
    <w:rsid w:val="00E57FE6"/>
    <w:rsid w:val="00E67D23"/>
    <w:rsid w:val="00E75CF7"/>
    <w:rsid w:val="00E83C8E"/>
    <w:rsid w:val="00E872E5"/>
    <w:rsid w:val="00E91844"/>
    <w:rsid w:val="00EA5576"/>
    <w:rsid w:val="00EB1AE1"/>
    <w:rsid w:val="00EB6381"/>
    <w:rsid w:val="00EC1FBD"/>
    <w:rsid w:val="00EC3A34"/>
    <w:rsid w:val="00ED199C"/>
    <w:rsid w:val="00ED4FFD"/>
    <w:rsid w:val="00ED64B8"/>
    <w:rsid w:val="00EE2FC7"/>
    <w:rsid w:val="00EF507A"/>
    <w:rsid w:val="00F01801"/>
    <w:rsid w:val="00F02A7C"/>
    <w:rsid w:val="00F21827"/>
    <w:rsid w:val="00F36283"/>
    <w:rsid w:val="00F4591E"/>
    <w:rsid w:val="00F63313"/>
    <w:rsid w:val="00F66E00"/>
    <w:rsid w:val="00F76FE4"/>
    <w:rsid w:val="00F80739"/>
    <w:rsid w:val="00F96640"/>
    <w:rsid w:val="00F972DD"/>
    <w:rsid w:val="00FA17C9"/>
    <w:rsid w:val="00FB59C1"/>
    <w:rsid w:val="00FC6AF3"/>
    <w:rsid w:val="00FD3225"/>
    <w:rsid w:val="00FE0721"/>
    <w:rsid w:val="00FE4DBB"/>
    <w:rsid w:val="00FF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903D18"/>
  <w15:docId w15:val="{E666273F-3F18-4C7C-AA64-BCBA9C19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A06D23"/>
  </w:style>
  <w:style w:type="paragraph" w:customStyle="1" w:styleId="paragraph">
    <w:name w:val="paragraph"/>
    <w:basedOn w:val="Normal"/>
    <w:rsid w:val="00E455F4"/>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E455F4"/>
  </w:style>
  <w:style w:type="paragraph" w:styleId="ListParagraph">
    <w:name w:val="List Paragraph"/>
    <w:basedOn w:val="Normal"/>
    <w:uiPriority w:val="34"/>
    <w:qFormat/>
    <w:rsid w:val="005E2D63"/>
    <w:pPr>
      <w:ind w:left="720"/>
      <w:contextualSpacing/>
    </w:pPr>
    <w:rPr>
      <w:rFonts w:asciiTheme="minorHAnsi" w:hAnsiTheme="minorHAnsi" w:cstheme="minorBidi"/>
      <w:sz w:val="22"/>
      <w:szCs w:val="22"/>
      <w:lang w:val="lt-LT"/>
    </w:rPr>
  </w:style>
  <w:style w:type="paragraph" w:styleId="Caption">
    <w:name w:val="caption"/>
    <w:basedOn w:val="Normal"/>
    <w:next w:val="Normal"/>
    <w:uiPriority w:val="35"/>
    <w:unhideWhenUsed/>
    <w:qFormat/>
    <w:rsid w:val="0060473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04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734"/>
  </w:style>
  <w:style w:type="paragraph" w:styleId="Footer">
    <w:name w:val="footer"/>
    <w:basedOn w:val="Normal"/>
    <w:link w:val="FooterChar"/>
    <w:uiPriority w:val="99"/>
    <w:unhideWhenUsed/>
    <w:rsid w:val="00604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734"/>
  </w:style>
  <w:style w:type="paragraph" w:customStyle="1" w:styleId="TableContents">
    <w:name w:val="Table Contents"/>
    <w:basedOn w:val="Normal"/>
    <w:rsid w:val="000E7D58"/>
    <w:pPr>
      <w:widowControl w:val="0"/>
      <w:suppressLineNumbers/>
      <w:suppressAutoHyphens/>
      <w:spacing w:after="0" w:line="240" w:lineRule="auto"/>
    </w:pPr>
    <w:rPr>
      <w:rFonts w:eastAsia="Lucida Sans Unicode"/>
      <w:kern w:val="2"/>
      <w:lang w:eastAsia="zh-CN"/>
    </w:rPr>
  </w:style>
  <w:style w:type="paragraph" w:styleId="BalloonText">
    <w:name w:val="Balloon Text"/>
    <w:basedOn w:val="Normal"/>
    <w:link w:val="BalloonTextChar"/>
    <w:uiPriority w:val="99"/>
    <w:semiHidden/>
    <w:unhideWhenUsed/>
    <w:rsid w:val="00973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9C"/>
    <w:rPr>
      <w:rFonts w:ascii="Segoe UI" w:hAnsi="Segoe UI" w:cs="Segoe UI"/>
      <w:sz w:val="18"/>
      <w:szCs w:val="18"/>
    </w:rPr>
  </w:style>
  <w:style w:type="paragraph" w:styleId="NormalWeb">
    <w:name w:val="Normal (Web)"/>
    <w:basedOn w:val="Normal"/>
    <w:uiPriority w:val="99"/>
    <w:unhideWhenUsed/>
    <w:rsid w:val="00D42B8A"/>
  </w:style>
  <w:style w:type="character" w:styleId="Hyperlink">
    <w:name w:val="Hyperlink"/>
    <w:basedOn w:val="DefaultParagraphFont"/>
    <w:uiPriority w:val="99"/>
    <w:semiHidden/>
    <w:unhideWhenUsed/>
    <w:rsid w:val="000D6550"/>
    <w:rPr>
      <w:color w:val="0563C1"/>
      <w:u w:val="single"/>
    </w:rPr>
  </w:style>
  <w:style w:type="character" w:styleId="CommentReference">
    <w:name w:val="annotation reference"/>
    <w:basedOn w:val="DefaultParagraphFont"/>
    <w:uiPriority w:val="99"/>
    <w:semiHidden/>
    <w:unhideWhenUsed/>
    <w:rsid w:val="00772B57"/>
    <w:rPr>
      <w:sz w:val="16"/>
      <w:szCs w:val="16"/>
    </w:rPr>
  </w:style>
  <w:style w:type="paragraph" w:styleId="CommentText">
    <w:name w:val="annotation text"/>
    <w:basedOn w:val="Normal"/>
    <w:link w:val="CommentTextChar"/>
    <w:uiPriority w:val="99"/>
    <w:semiHidden/>
    <w:unhideWhenUsed/>
    <w:rsid w:val="00772B57"/>
    <w:pPr>
      <w:spacing w:line="240" w:lineRule="auto"/>
    </w:pPr>
    <w:rPr>
      <w:sz w:val="20"/>
      <w:szCs w:val="20"/>
    </w:rPr>
  </w:style>
  <w:style w:type="character" w:customStyle="1" w:styleId="CommentTextChar">
    <w:name w:val="Comment Text Char"/>
    <w:basedOn w:val="DefaultParagraphFont"/>
    <w:link w:val="CommentText"/>
    <w:uiPriority w:val="99"/>
    <w:semiHidden/>
    <w:rsid w:val="00772B57"/>
    <w:rPr>
      <w:sz w:val="20"/>
      <w:szCs w:val="20"/>
    </w:rPr>
  </w:style>
  <w:style w:type="paragraph" w:styleId="CommentSubject">
    <w:name w:val="annotation subject"/>
    <w:basedOn w:val="CommentText"/>
    <w:next w:val="CommentText"/>
    <w:link w:val="CommentSubjectChar"/>
    <w:uiPriority w:val="99"/>
    <w:semiHidden/>
    <w:unhideWhenUsed/>
    <w:rsid w:val="00772B57"/>
    <w:rPr>
      <w:b/>
      <w:bCs/>
    </w:rPr>
  </w:style>
  <w:style w:type="character" w:customStyle="1" w:styleId="CommentSubjectChar">
    <w:name w:val="Comment Subject Char"/>
    <w:basedOn w:val="CommentTextChar"/>
    <w:link w:val="CommentSubject"/>
    <w:uiPriority w:val="99"/>
    <w:semiHidden/>
    <w:rsid w:val="00772B57"/>
    <w:rPr>
      <w:b/>
      <w:bCs/>
      <w:sz w:val="20"/>
      <w:szCs w:val="20"/>
    </w:rPr>
  </w:style>
  <w:style w:type="character" w:customStyle="1" w:styleId="eop">
    <w:name w:val="eop"/>
    <w:basedOn w:val="DefaultParagraphFont"/>
    <w:rsid w:val="00184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50618">
      <w:bodyDiv w:val="1"/>
      <w:marLeft w:val="0"/>
      <w:marRight w:val="0"/>
      <w:marTop w:val="0"/>
      <w:marBottom w:val="0"/>
      <w:divBdr>
        <w:top w:val="none" w:sz="0" w:space="0" w:color="auto"/>
        <w:left w:val="none" w:sz="0" w:space="0" w:color="auto"/>
        <w:bottom w:val="none" w:sz="0" w:space="0" w:color="auto"/>
        <w:right w:val="none" w:sz="0" w:space="0" w:color="auto"/>
      </w:divBdr>
    </w:div>
    <w:div w:id="901257315">
      <w:bodyDiv w:val="1"/>
      <w:marLeft w:val="0"/>
      <w:marRight w:val="0"/>
      <w:marTop w:val="0"/>
      <w:marBottom w:val="0"/>
      <w:divBdr>
        <w:top w:val="none" w:sz="0" w:space="0" w:color="auto"/>
        <w:left w:val="none" w:sz="0" w:space="0" w:color="auto"/>
        <w:bottom w:val="none" w:sz="0" w:space="0" w:color="auto"/>
        <w:right w:val="none" w:sz="0" w:space="0" w:color="auto"/>
      </w:divBdr>
    </w:div>
    <w:div w:id="1171801466">
      <w:bodyDiv w:val="1"/>
      <w:marLeft w:val="0"/>
      <w:marRight w:val="0"/>
      <w:marTop w:val="0"/>
      <w:marBottom w:val="0"/>
      <w:divBdr>
        <w:top w:val="none" w:sz="0" w:space="0" w:color="auto"/>
        <w:left w:val="none" w:sz="0" w:space="0" w:color="auto"/>
        <w:bottom w:val="none" w:sz="0" w:space="0" w:color="auto"/>
        <w:right w:val="none" w:sz="0" w:space="0" w:color="auto"/>
      </w:divBdr>
    </w:div>
    <w:div w:id="1379890243">
      <w:bodyDiv w:val="1"/>
      <w:marLeft w:val="0"/>
      <w:marRight w:val="0"/>
      <w:marTop w:val="0"/>
      <w:marBottom w:val="0"/>
      <w:divBdr>
        <w:top w:val="none" w:sz="0" w:space="0" w:color="auto"/>
        <w:left w:val="none" w:sz="0" w:space="0" w:color="auto"/>
        <w:bottom w:val="none" w:sz="0" w:space="0" w:color="auto"/>
        <w:right w:val="none" w:sz="0" w:space="0" w:color="auto"/>
      </w:divBdr>
    </w:div>
    <w:div w:id="1476990485">
      <w:bodyDiv w:val="1"/>
      <w:marLeft w:val="0"/>
      <w:marRight w:val="0"/>
      <w:marTop w:val="0"/>
      <w:marBottom w:val="0"/>
      <w:divBdr>
        <w:top w:val="none" w:sz="0" w:space="0" w:color="auto"/>
        <w:left w:val="none" w:sz="0" w:space="0" w:color="auto"/>
        <w:bottom w:val="none" w:sz="0" w:space="0" w:color="auto"/>
        <w:right w:val="none" w:sz="0" w:space="0" w:color="auto"/>
      </w:divBdr>
    </w:div>
    <w:div w:id="1484734724">
      <w:bodyDiv w:val="1"/>
      <w:marLeft w:val="0"/>
      <w:marRight w:val="0"/>
      <w:marTop w:val="0"/>
      <w:marBottom w:val="0"/>
      <w:divBdr>
        <w:top w:val="none" w:sz="0" w:space="0" w:color="auto"/>
        <w:left w:val="none" w:sz="0" w:space="0" w:color="auto"/>
        <w:bottom w:val="none" w:sz="0" w:space="0" w:color="auto"/>
        <w:right w:val="none" w:sz="0" w:space="0" w:color="auto"/>
      </w:divBdr>
    </w:div>
    <w:div w:id="19187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B306AC74BF44E84D5BE17E0037322" ma:contentTypeVersion="18" ma:contentTypeDescription="Create a new document." ma:contentTypeScope="" ma:versionID="4666646eca218a4d3c6f84d2d029f108">
  <xsd:schema xmlns:xsd="http://www.w3.org/2001/XMLSchema" xmlns:xs="http://www.w3.org/2001/XMLSchema" xmlns:p="http://schemas.microsoft.com/office/2006/metadata/properties" xmlns:ns2="c4d4993c-3556-490f-a652-5742e1d7f340" xmlns:ns3="23ff61ea-a57a-4bd3-ae79-8a3ede980598" xmlns:ns4="c656aea0-4ea5-4db6-8a19-802664f5a411" targetNamespace="http://schemas.microsoft.com/office/2006/metadata/properties" ma:root="true" ma:fieldsID="c6e7e17f196705a53859afcf31f12621" ns2:_="" ns3:_="" ns4:_="">
    <xsd:import namespace="c4d4993c-3556-490f-a652-5742e1d7f340"/>
    <xsd:import namespace="23ff61ea-a57a-4bd3-ae79-8a3ede980598"/>
    <xsd:import namespace="c656aea0-4ea5-4db6-8a19-802664f5a411"/>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4993c-3556-490f-a652-5742e1d7f3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6c98d3f-744d-4606-a5e6-3c2282fb31a7}" ma:internalName="TaxCatchAll" ma:showField="CatchAllData" ma:web="23ff61ea-a57a-4bd3-ae79-8a3ede9805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56aea0-4ea5-4db6-8a19-802664f5a4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dca688-8fbb-4411-b357-f76f2a7c3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ff61ea-a57a-4bd3-ae79-8a3ede980598" xsi:nil="true"/>
    <lcf76f155ced4ddcb4097134ff3c332f xmlns="c656aea0-4ea5-4db6-8a19-802664f5a4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1E647-CF5D-47F9-8178-EC0E60F907E8}">
  <ds:schemaRefs>
    <ds:schemaRef ds:uri="http://schemas.microsoft.com/sharepoint/v3/contenttype/forms"/>
  </ds:schemaRefs>
</ds:datastoreItem>
</file>

<file path=customXml/itemProps2.xml><?xml version="1.0" encoding="utf-8"?>
<ds:datastoreItem xmlns:ds="http://schemas.openxmlformats.org/officeDocument/2006/customXml" ds:itemID="{6A9FB5E6-34F8-48E5-9534-D2817EE01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4993c-3556-490f-a652-5742e1d7f340"/>
    <ds:schemaRef ds:uri="23ff61ea-a57a-4bd3-ae79-8a3ede980598"/>
    <ds:schemaRef ds:uri="c656aea0-4ea5-4db6-8a19-802664f5a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F6AEE-6BFE-4DC2-B3B2-E5688EED4420}">
  <ds:schemaRefs>
    <ds:schemaRef ds:uri="http://purl.org/dc/terms/"/>
    <ds:schemaRef ds:uri="23ff61ea-a57a-4bd3-ae79-8a3ede980598"/>
    <ds:schemaRef ds:uri="http://schemas.microsoft.com/office/2006/documentManagement/types"/>
    <ds:schemaRef ds:uri="c656aea0-4ea5-4db6-8a19-802664f5a41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4d4993c-3556-490f-a652-5742e1d7f3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5521</Words>
  <Characters>3147</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kolegija</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Marcinkonienė</dc:creator>
  <cp:lastModifiedBy>Jolanta Mickuvienė</cp:lastModifiedBy>
  <cp:revision>2</cp:revision>
  <cp:lastPrinted>2024-01-31T07:25:00Z</cp:lastPrinted>
  <dcterms:created xsi:type="dcterms:W3CDTF">2024-05-08T11:48:00Z</dcterms:created>
  <dcterms:modified xsi:type="dcterms:W3CDTF">2024-05-08T11:48:00Z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0x010100835B306AC74BF44E84D5BE17E0037322</vt:lpwstr>
  </property>
  <property fmtid="{D5CDD505-2E9C-101B-9397-08002B2CF9AE}" pid="3" name="MediaServiceImageTags">
    <vt:lpwstr/>
  </property>
</Properties>
</file>