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C1C" w14:textId="77777777" w:rsidR="00092466" w:rsidRPr="00185053" w:rsidRDefault="00092466" w:rsidP="00092466">
      <w:pPr>
        <w:pStyle w:val="Heading"/>
        <w:jc w:val="center"/>
        <w:rPr>
          <w:rFonts w:cs="Times New Roman"/>
          <w:color w:val="auto"/>
          <w:lang w:val="lt-LT"/>
        </w:rPr>
      </w:pPr>
      <w:r w:rsidRPr="00185053">
        <w:rPr>
          <w:rFonts w:cs="Times New Roman"/>
          <w:color w:val="auto"/>
          <w:lang w:val="lt-LT"/>
        </w:rPr>
        <w:t>SUSITARIMAS DĖL PAGRINDINIŲ sutarčių 2022-11-04 NR. VPS-41 ir 2023-12-27 Nr. VPS-79 paKEITIMO PAGAL VPĮ 89 STR. 1 D. 3 p. ir VPĮ 89 STR. 1 D. 5 P.</w:t>
      </w:r>
    </w:p>
    <w:p w14:paraId="5ED32BFE" w14:textId="72B53B0A" w:rsidR="00185053" w:rsidRPr="00185053" w:rsidRDefault="00185053" w:rsidP="00185053">
      <w:pPr>
        <w:pStyle w:val="Body2"/>
        <w:jc w:val="center"/>
        <w:rPr>
          <w:lang w:val="lt-LT"/>
        </w:rPr>
      </w:pPr>
      <w:r w:rsidRPr="00185053">
        <w:rPr>
          <w:lang w:val="lt-LT"/>
        </w:rPr>
        <w:t>2023-12-29 Nr.VPS-83</w:t>
      </w:r>
    </w:p>
    <w:p w14:paraId="76693F66" w14:textId="77777777" w:rsidR="00092466" w:rsidRPr="00185053" w:rsidRDefault="00092466" w:rsidP="00092466">
      <w:pPr>
        <w:pStyle w:val="Heading"/>
        <w:rPr>
          <w:rFonts w:cs="Times New Roman"/>
          <w:color w:val="auto"/>
          <w:lang w:val="lt-LT"/>
        </w:rPr>
      </w:pPr>
    </w:p>
    <w:p w14:paraId="3EB212DB" w14:textId="77777777" w:rsidR="00092466" w:rsidRPr="00185053" w:rsidRDefault="00092466" w:rsidP="00092466">
      <w:pPr>
        <w:spacing w:before="100" w:beforeAutospacing="1" w:after="100" w:afterAutospacing="1"/>
        <w:jc w:val="both"/>
        <w:rPr>
          <w:sz w:val="22"/>
          <w:szCs w:val="22"/>
        </w:rPr>
      </w:pPr>
      <w:r w:rsidRPr="00185053">
        <w:rPr>
          <w:b/>
          <w:bCs/>
          <w:sz w:val="22"/>
          <w:szCs w:val="22"/>
        </w:rPr>
        <w:tab/>
      </w:r>
      <w:r w:rsidRPr="00185053">
        <w:rPr>
          <w:rStyle w:val="normaltextrun"/>
          <w:b/>
          <w:bCs/>
          <w:sz w:val="22"/>
          <w:szCs w:val="22"/>
          <w:shd w:val="clear" w:color="auto" w:fill="FFFFFF"/>
        </w:rPr>
        <w:t>UAB „HSC Baltic“ (toliau - Rangovas)</w:t>
      </w:r>
      <w:r w:rsidRPr="00185053">
        <w:rPr>
          <w:rStyle w:val="normaltextrun"/>
          <w:sz w:val="22"/>
          <w:szCs w:val="22"/>
          <w:shd w:val="clear" w:color="auto" w:fill="FFFFFF"/>
        </w:rPr>
        <w:t xml:space="preserve">, atstovaujama generalinio direktoriaus Rimvydo </w:t>
      </w:r>
      <w:proofErr w:type="spellStart"/>
      <w:r w:rsidRPr="00185053">
        <w:rPr>
          <w:rStyle w:val="normaltextrun"/>
          <w:sz w:val="22"/>
          <w:szCs w:val="22"/>
          <w:shd w:val="clear" w:color="auto" w:fill="FFFFFF"/>
        </w:rPr>
        <w:t>Beržonskio</w:t>
      </w:r>
      <w:proofErr w:type="spellEnd"/>
      <w:r w:rsidRPr="00185053">
        <w:rPr>
          <w:rStyle w:val="normaltextrun"/>
          <w:sz w:val="22"/>
          <w:szCs w:val="22"/>
          <w:shd w:val="clear" w:color="auto" w:fill="FFFFFF"/>
        </w:rPr>
        <w:t>, veikiančio pagal bendrovės įstatus</w:t>
      </w:r>
      <w:r w:rsidRPr="00185053">
        <w:rPr>
          <w:sz w:val="22"/>
          <w:szCs w:val="22"/>
        </w:rPr>
        <w:t xml:space="preserve">, ir </w:t>
      </w:r>
    </w:p>
    <w:p w14:paraId="508A3D7D" w14:textId="77777777" w:rsidR="00092466" w:rsidRPr="00185053" w:rsidRDefault="00092466" w:rsidP="00092466">
      <w:pPr>
        <w:pStyle w:val="Body2"/>
        <w:rPr>
          <w:rFonts w:cs="Times New Roman"/>
          <w:color w:val="auto"/>
          <w:lang w:val="lt-LT"/>
        </w:rPr>
      </w:pPr>
      <w:r w:rsidRPr="00185053">
        <w:rPr>
          <w:rFonts w:cs="Times New Roman"/>
          <w:color w:val="auto"/>
          <w:lang w:val="lt-LT"/>
        </w:rPr>
        <w:tab/>
      </w:r>
      <w:r w:rsidRPr="00185053">
        <w:rPr>
          <w:rFonts w:cs="Times New Roman"/>
          <w:b/>
          <w:bCs/>
          <w:color w:val="auto"/>
          <w:lang w:val="lt-LT"/>
        </w:rPr>
        <w:t>BĮ Šiuolaikinio meno centras</w:t>
      </w:r>
      <w:r w:rsidRPr="00185053">
        <w:rPr>
          <w:rFonts w:cs="Times New Roman"/>
          <w:color w:val="auto"/>
          <w:lang w:val="lt-LT"/>
        </w:rPr>
        <w:t xml:space="preserve"> (toliau - </w:t>
      </w:r>
      <w:r w:rsidRPr="00185053">
        <w:rPr>
          <w:rFonts w:cs="Times New Roman"/>
          <w:b/>
          <w:bCs/>
          <w:color w:val="auto"/>
          <w:lang w:val="lt-LT"/>
        </w:rPr>
        <w:t>Užsakovas</w:t>
      </w:r>
      <w:r w:rsidRPr="00185053">
        <w:rPr>
          <w:rFonts w:cs="Times New Roman"/>
          <w:color w:val="auto"/>
          <w:lang w:val="lt-LT"/>
        </w:rPr>
        <w:t xml:space="preserve">), atstovaujama direktoriaus Kęstučio Kuizino, veikiančio pagal įstatus, </w:t>
      </w:r>
    </w:p>
    <w:p w14:paraId="6265CDC2" w14:textId="77777777" w:rsidR="00092466" w:rsidRPr="00185053" w:rsidRDefault="00092466" w:rsidP="00092466">
      <w:pPr>
        <w:pStyle w:val="Body2"/>
        <w:rPr>
          <w:rFonts w:cs="Times New Roman"/>
          <w:color w:val="auto"/>
          <w:lang w:val="lt-LT"/>
        </w:rPr>
      </w:pPr>
      <w:r w:rsidRPr="00185053">
        <w:rPr>
          <w:rFonts w:cs="Times New Roman"/>
          <w:color w:val="auto"/>
          <w:lang w:val="lt-LT"/>
        </w:rPr>
        <w:tab/>
        <w:t>toliau kartu šiame susitarime Rangovas ir Užsakovas vadinami „Šalimis</w:t>
      </w:r>
      <w:r w:rsidRPr="00185053">
        <w:rPr>
          <w:rFonts w:cs="Times New Roman"/>
          <w:color w:val="auto"/>
          <w:rtl/>
          <w:lang w:val="lt-LT"/>
        </w:rPr>
        <w:t>“</w:t>
      </w:r>
      <w:r w:rsidRPr="00185053">
        <w:rPr>
          <w:rFonts w:cs="Times New Roman"/>
          <w:color w:val="auto"/>
          <w:lang w:val="lt-LT"/>
        </w:rPr>
        <w:t>, o kiekvienas atskirai - „Šalimi</w:t>
      </w:r>
      <w:r w:rsidRPr="00185053">
        <w:rPr>
          <w:rFonts w:cs="Times New Roman"/>
          <w:color w:val="auto"/>
          <w:rtl/>
          <w:lang w:val="lt-LT"/>
        </w:rPr>
        <w:t>“</w:t>
      </w:r>
      <w:r w:rsidRPr="00185053">
        <w:rPr>
          <w:rFonts w:cs="Times New Roman"/>
          <w:color w:val="auto"/>
          <w:lang w:val="lt-LT"/>
        </w:rPr>
        <w:t xml:space="preserve">, </w:t>
      </w:r>
    </w:p>
    <w:p w14:paraId="76937426" w14:textId="77777777" w:rsidR="00092466" w:rsidRPr="00185053" w:rsidRDefault="00092466" w:rsidP="00092466">
      <w:pPr>
        <w:pStyle w:val="Body"/>
        <w:spacing w:line="240" w:lineRule="auto"/>
        <w:jc w:val="both"/>
        <w:rPr>
          <w:rFonts w:ascii="Times New Roman" w:eastAsia="Times New Roman" w:hAnsi="Times New Roman" w:cs="Times New Roman"/>
          <w:color w:val="auto"/>
          <w:sz w:val="22"/>
          <w:szCs w:val="22"/>
          <w:lang w:val="lt-LT"/>
        </w:rPr>
      </w:pPr>
    </w:p>
    <w:p w14:paraId="11DBCC7F" w14:textId="77777777" w:rsidR="00092466" w:rsidRPr="00185053" w:rsidRDefault="00092466" w:rsidP="00092466">
      <w:pPr>
        <w:pStyle w:val="Heading"/>
        <w:rPr>
          <w:rFonts w:cs="Times New Roman"/>
          <w:color w:val="auto"/>
          <w:lang w:val="lt-LT"/>
        </w:rPr>
      </w:pPr>
      <w:r w:rsidRPr="00185053">
        <w:rPr>
          <w:rFonts w:cs="Times New Roman"/>
          <w:color w:val="auto"/>
          <w:lang w:val="lt-LT"/>
        </w:rPr>
        <w:tab/>
        <w:t>ATSIŽVELGDAMOS Į TAI, KAD:</w:t>
      </w:r>
    </w:p>
    <w:p w14:paraId="3840CCD3" w14:textId="77777777" w:rsidR="00092466" w:rsidRPr="00185053" w:rsidRDefault="00092466" w:rsidP="00092466">
      <w:pPr>
        <w:pStyle w:val="Body"/>
        <w:spacing w:line="240" w:lineRule="auto"/>
        <w:jc w:val="both"/>
        <w:rPr>
          <w:rFonts w:ascii="Times New Roman" w:eastAsia="Times New Roman" w:hAnsi="Times New Roman" w:cs="Times New Roman"/>
          <w:color w:val="auto"/>
          <w:sz w:val="22"/>
          <w:szCs w:val="22"/>
          <w:lang w:val="lt-LT"/>
        </w:rPr>
      </w:pPr>
    </w:p>
    <w:p w14:paraId="28FE8655" w14:textId="77777777" w:rsidR="00092466" w:rsidRPr="00185053" w:rsidRDefault="00092466" w:rsidP="00092466">
      <w:pPr>
        <w:pStyle w:val="Body2"/>
        <w:rPr>
          <w:rFonts w:cs="Times New Roman"/>
          <w:color w:val="auto"/>
          <w:lang w:val="lt-LT"/>
        </w:rPr>
      </w:pPr>
      <w:r w:rsidRPr="00185053">
        <w:rPr>
          <w:rFonts w:cs="Times New Roman"/>
          <w:color w:val="auto"/>
          <w:lang w:val="lt-LT"/>
        </w:rPr>
        <w:tab/>
        <w:t xml:space="preserve">A. Šalys sudarė dvi viešojo pirkimo pagrindines sutartis 2022-11-04 Nr. </w:t>
      </w:r>
      <w:r w:rsidRPr="00185053">
        <w:rPr>
          <w:rStyle w:val="normaltextrun"/>
          <w:rFonts w:cs="Times New Roman"/>
          <w:bdr w:val="none" w:sz="0" w:space="0" w:color="auto" w:frame="1"/>
          <w:lang w:val="lt-LT"/>
        </w:rPr>
        <w:t xml:space="preserve">VPS-41 ir </w:t>
      </w:r>
      <w:r w:rsidRPr="00185053">
        <w:rPr>
          <w:rFonts w:cs="Times New Roman"/>
          <w:color w:val="auto"/>
          <w:lang w:val="lt-LT"/>
        </w:rPr>
        <w:t xml:space="preserve">2023-12-27 </w:t>
      </w:r>
      <w:r w:rsidRPr="00185053">
        <w:rPr>
          <w:rStyle w:val="normaltextrun"/>
          <w:rFonts w:cs="Times New Roman"/>
          <w:bdr w:val="none" w:sz="0" w:space="0" w:color="auto" w:frame="1"/>
          <w:lang w:val="lt-LT"/>
        </w:rPr>
        <w:t xml:space="preserve">VPS-79 dėl </w:t>
      </w:r>
      <w:r w:rsidRPr="00185053">
        <w:rPr>
          <w:rFonts w:cs="Times New Roman"/>
          <w:color w:val="auto"/>
          <w:lang w:val="lt-LT"/>
        </w:rPr>
        <w:t xml:space="preserve">Parodų rūmų, Vokiečių g. 2, Vilniuje, kapitalinio remonto ir tvarkybos darbų (toliau – </w:t>
      </w:r>
      <w:r w:rsidRPr="00185053">
        <w:rPr>
          <w:rFonts w:cs="Times New Roman"/>
          <w:b/>
          <w:bCs/>
          <w:color w:val="auto"/>
          <w:lang w:val="lt-LT"/>
        </w:rPr>
        <w:t>Sutartys</w:t>
      </w:r>
      <w:r w:rsidRPr="00185053">
        <w:rPr>
          <w:rFonts w:cs="Times New Roman"/>
          <w:color w:val="auto"/>
          <w:lang w:val="lt-LT"/>
        </w:rPr>
        <w:t xml:space="preserve">) dėl kurių sudaromas šis susitarimas. Sutartys buvo sudarytos preliminarios viešojo pirkimo darbų sutarties Nr. VPS-34 pagrindu (toliau – </w:t>
      </w:r>
      <w:r w:rsidRPr="00185053">
        <w:rPr>
          <w:rFonts w:cs="Times New Roman"/>
          <w:b/>
          <w:bCs/>
          <w:color w:val="auto"/>
          <w:lang w:val="lt-LT"/>
        </w:rPr>
        <w:t>Preliminarioji sutartis</w:t>
      </w:r>
      <w:r w:rsidRPr="00185053">
        <w:rPr>
          <w:rFonts w:cs="Times New Roman"/>
          <w:color w:val="auto"/>
          <w:lang w:val="lt-LT"/>
        </w:rPr>
        <w:t>).</w:t>
      </w:r>
    </w:p>
    <w:p w14:paraId="47742FE3" w14:textId="77777777" w:rsidR="00092466" w:rsidRPr="00185053" w:rsidRDefault="00092466" w:rsidP="00092466">
      <w:pPr>
        <w:pStyle w:val="Body2"/>
        <w:rPr>
          <w:rFonts w:cs="Times New Roman"/>
          <w:color w:val="auto"/>
          <w:lang w:val="lt-LT"/>
        </w:rPr>
      </w:pPr>
      <w:r w:rsidRPr="00185053">
        <w:rPr>
          <w:rFonts w:cs="Times New Roman"/>
          <w:color w:val="auto"/>
          <w:lang w:val="lt-LT"/>
        </w:rPr>
        <w:tab/>
        <w:t>B. Sutarčių vykdymo metu Šalims paaiškėjo nenumatytos aplinkybės (techniniame projekte nebuvo numatyti atitinkami sprendiniai ar numatytieji nebuvo tikslūs), kurios Šalims lėmė poreikį tikslinti Sutarčių vykdymo apimtį ir, be kita ko, Rangovui atlikti papildomus darbus lygiagrečiai su kitais Sutartyse numatytais darbais:</w:t>
      </w:r>
    </w:p>
    <w:p w14:paraId="4F5DFC78" w14:textId="77777777" w:rsidR="00092466" w:rsidRPr="00185053" w:rsidRDefault="00092466" w:rsidP="00092466">
      <w:pPr>
        <w:pStyle w:val="Body2"/>
        <w:rPr>
          <w:rFonts w:cs="Times New Roman"/>
          <w:color w:val="auto"/>
          <w:lang w:val="lt-LT"/>
        </w:rPr>
      </w:pPr>
      <w:r w:rsidRPr="00185053">
        <w:rPr>
          <w:rFonts w:cs="Times New Roman"/>
          <w:color w:val="auto"/>
          <w:lang w:val="lt-LT"/>
        </w:rPr>
        <w:tab/>
        <w:t>(i) techniniame projekte 20.016-TP-E dalyje buvo nenumatyti svarbūs projekto sprendiniai, kurių veikimą yra būtina užtikrinti;</w:t>
      </w:r>
    </w:p>
    <w:p w14:paraId="63AB5BBD" w14:textId="77777777" w:rsidR="00092466" w:rsidRPr="00185053" w:rsidRDefault="00092466" w:rsidP="00092466">
      <w:pPr>
        <w:pStyle w:val="Body2"/>
        <w:rPr>
          <w:rFonts w:cs="Times New Roman"/>
          <w:color w:val="auto"/>
          <w:lang w:val="lt-LT"/>
        </w:rPr>
      </w:pPr>
      <w:r w:rsidRPr="00185053">
        <w:rPr>
          <w:rFonts w:cs="Times New Roman"/>
          <w:color w:val="auto"/>
          <w:lang w:val="lt-LT"/>
        </w:rPr>
        <w:tab/>
        <w:t>(ii) serverinėje nebuvo numatyta oro kondicionavimo sistema, kuri yra būtina, kad serverinėje esanti įranga neperkaistų ir nekiltų kitų papildomų pavojų;</w:t>
      </w:r>
    </w:p>
    <w:p w14:paraId="3FEB3AD3" w14:textId="77777777" w:rsidR="00092466" w:rsidRPr="00185053" w:rsidRDefault="00092466" w:rsidP="00092466">
      <w:pPr>
        <w:pStyle w:val="Body2"/>
        <w:rPr>
          <w:rFonts w:cs="Times New Roman"/>
          <w:color w:val="auto"/>
          <w:lang w:val="lt-LT"/>
        </w:rPr>
      </w:pPr>
      <w:r w:rsidRPr="00185053">
        <w:rPr>
          <w:rFonts w:cs="Times New Roman"/>
          <w:color w:val="auto"/>
          <w:lang w:val="lt-LT"/>
        </w:rPr>
        <w:tab/>
        <w:t xml:space="preserve">(iii) esami techninio projekto sprendiniai nėra pakankami Užsakovo pakeistai pastato energetinei klasei, </w:t>
      </w:r>
      <w:proofErr w:type="spellStart"/>
      <w:r w:rsidRPr="00185053">
        <w:rPr>
          <w:rFonts w:cs="Times New Roman"/>
          <w:color w:val="auto"/>
          <w:lang w:val="lt-LT"/>
        </w:rPr>
        <w:t>t.y</w:t>
      </w:r>
      <w:proofErr w:type="spellEnd"/>
      <w:r w:rsidRPr="00185053">
        <w:rPr>
          <w:rFonts w:cs="Times New Roman"/>
          <w:color w:val="auto"/>
          <w:lang w:val="lt-LT"/>
        </w:rPr>
        <w:t>. C klasei pasiekti;</w:t>
      </w:r>
    </w:p>
    <w:p w14:paraId="3E3C9056" w14:textId="77777777" w:rsidR="00092466" w:rsidRPr="00185053" w:rsidRDefault="00092466" w:rsidP="00092466">
      <w:pPr>
        <w:pStyle w:val="Body2"/>
        <w:rPr>
          <w:rFonts w:cs="Times New Roman"/>
          <w:bCs/>
          <w:lang w:val="lt-LT"/>
        </w:rPr>
      </w:pPr>
      <w:r w:rsidRPr="00185053">
        <w:rPr>
          <w:rFonts w:cs="Times New Roman"/>
          <w:color w:val="auto"/>
          <w:lang w:val="lt-LT"/>
        </w:rPr>
        <w:tab/>
        <w:t xml:space="preserve">(iv) </w:t>
      </w:r>
      <w:r w:rsidRPr="00185053">
        <w:rPr>
          <w:rFonts w:cs="Times New Roman"/>
          <w:bCs/>
          <w:lang w:val="lt-LT"/>
        </w:rPr>
        <w:t xml:space="preserve">griovimo darbų apimtyje nebuvo numatyti pagrindinio pastato plokščio stogo pasluoksnių ir plokščio stogo tarpo tarp </w:t>
      </w:r>
      <w:proofErr w:type="spellStart"/>
      <w:r w:rsidRPr="00185053">
        <w:rPr>
          <w:rFonts w:cs="Times New Roman"/>
          <w:bCs/>
          <w:lang w:val="lt-LT"/>
        </w:rPr>
        <w:t>šėdinių</w:t>
      </w:r>
      <w:proofErr w:type="spellEnd"/>
      <w:r w:rsidRPr="00185053">
        <w:rPr>
          <w:rFonts w:cs="Times New Roman"/>
          <w:bCs/>
          <w:lang w:val="lt-LT"/>
        </w:rPr>
        <w:t xml:space="preserve"> stoglangių pasluoksnių ardymo ir atliekų išvežimo darbai;</w:t>
      </w:r>
    </w:p>
    <w:p w14:paraId="347A0B5C"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(v) techniniame projekte 20.016-TP-SK dalyje nebuvo įvertinti sienų šiltinimo detalių sprendiniai užtikrinantys sienų rasos tašką, dėl ko tapo reikalinga pakeisti visus techniniame projekto šiltinimo sprendinius ir atlikti su tuo susijusius papildomus darbus;</w:t>
      </w:r>
    </w:p>
    <w:p w14:paraId="49129346"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(vi) techniniame projekte 20.016-TP-GS dalyje nebuvo įvertinti dūmų šalinimo sprendiniai iš pastato, dėl ko tapo reikalinga atlikti papildomus dubų šalinimo įrengimo ant pastato stogo darbus;</w:t>
      </w:r>
    </w:p>
    <w:p w14:paraId="68A8CFE0"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(vii) techniniame projekte 20.016-TP-SA dalyje buvo klaidingai nurodyta esama betoninė perdanga dėl ko reikėjo pakeisti aptariamos perdangos įrengimo sprendinį ir atlikti su tuo susijusius papildomus darbus;</w:t>
      </w:r>
    </w:p>
    <w:p w14:paraId="2F3BB059"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(viii) tvarkybos darbo projekte 20.016-TvDP-SK dalyje nebuvo numatyta apatinių santvarų zonos stiprinimo darbai dėl to kilo poreikis atlikti papildomus stiprinimo darbus;</w:t>
      </w:r>
    </w:p>
    <w:p w14:paraId="1FE9165C"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 xml:space="preserve">(ix) techninio projekto 20.016-TP-SK dalyje buvo numatytas netinkamas </w:t>
      </w:r>
      <w:proofErr w:type="spellStart"/>
      <w:r w:rsidRPr="00185053">
        <w:rPr>
          <w:rFonts w:cs="Times New Roman"/>
          <w:color w:val="auto"/>
          <w:lang w:val="lt-LT"/>
        </w:rPr>
        <w:t>ransijos</w:t>
      </w:r>
      <w:proofErr w:type="spellEnd"/>
      <w:r w:rsidRPr="00185053">
        <w:rPr>
          <w:rFonts w:cs="Times New Roman"/>
          <w:color w:val="auto"/>
          <w:lang w:val="lt-LT"/>
        </w:rPr>
        <w:t xml:space="preserve"> stiprinimo mazgas, kurį buvo būtina perprojektuoti, taip pat papildomai sustiprinti virš </w:t>
      </w:r>
      <w:proofErr w:type="spellStart"/>
      <w:r w:rsidRPr="00185053">
        <w:rPr>
          <w:rFonts w:cs="Times New Roman"/>
          <w:color w:val="auto"/>
          <w:lang w:val="lt-LT"/>
        </w:rPr>
        <w:t>ransijos</w:t>
      </w:r>
      <w:proofErr w:type="spellEnd"/>
      <w:r w:rsidRPr="00185053">
        <w:rPr>
          <w:rFonts w:cs="Times New Roman"/>
          <w:color w:val="auto"/>
          <w:lang w:val="lt-LT"/>
        </w:rPr>
        <w:t xml:space="preserve"> esantį mūrą ir atlikti su tuo susijusius papildomus darbus;</w:t>
      </w:r>
    </w:p>
    <w:p w14:paraId="4C0B7A99"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 xml:space="preserve">(x) techninio projekto 20.016-TP-SK dalyje buvo numatyta įrengti </w:t>
      </w:r>
      <w:proofErr w:type="spellStart"/>
      <w:r w:rsidRPr="00185053">
        <w:rPr>
          <w:rFonts w:cs="Times New Roman"/>
          <w:color w:val="auto"/>
          <w:lang w:val="lt-LT"/>
        </w:rPr>
        <w:t>savistovės</w:t>
      </w:r>
      <w:proofErr w:type="spellEnd"/>
      <w:r w:rsidRPr="00185053">
        <w:rPr>
          <w:rFonts w:cs="Times New Roman"/>
          <w:color w:val="auto"/>
          <w:lang w:val="lt-LT"/>
        </w:rPr>
        <w:t xml:space="preserve"> metalo konstrukcijos liftą, kuris netenkino techninio projekto 20.016-TP-GS dalyje numatytų priešgaisrinių reikalavimų dėl ko kilo poreikis pakeisti projektinius sprendinius ir patį liftą atliekant papildomus darbus;</w:t>
      </w:r>
    </w:p>
    <w:p w14:paraId="6F6B1BBE"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(xi) techninio projekto 20.016-TP-ŠT/ŠVOK dalyse buvo netinkamai įvertinti šilumos tiekimo sistemos galia, dėl ko atlikus perskaičiavimą kilo poreikis atlikti papildomus darbus;</w:t>
      </w:r>
    </w:p>
    <w:p w14:paraId="7B1431E5"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(xii) techninio projekto 20.016-TP-VN dalyje buvo numatytas per mažas gaisrinių skydų ir vamzdyno kiekis dėl ko kilis poreikis atlikti papildomus darbus;</w:t>
      </w:r>
    </w:p>
    <w:p w14:paraId="50CB115B"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(xiii) techninio projekto 20.016-TP-SK dalyje buvo netinkamai suprojektuota vidinio kiemelio ST3 detalė dėl ko kilo poreikis pakeisti vidinio kiemelio detalę ir atlikti papildomus darbus;</w:t>
      </w:r>
    </w:p>
    <w:p w14:paraId="1965B0F2"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lastRenderedPageBreak/>
        <w:t>(xiv) nedetalizuotose patalpose reikalinga pravesti visų inžinerinių tinklų magistralinius vamzdynus ir sustiprinti pastato pirmo aukšto perdangas iš apačios, tačiau tai atlikti trukdė šiose patalpose esanti apdaila ir senos inžinerinės sistemos dėl ko kilo poreikis atlikti papildomus demontavimo darbus,</w:t>
      </w:r>
    </w:p>
    <w:p w14:paraId="6D41E211" w14:textId="77777777" w:rsidR="00092466" w:rsidRPr="00185053" w:rsidRDefault="00092466" w:rsidP="00092466">
      <w:pPr>
        <w:pStyle w:val="Body2"/>
        <w:ind w:firstLine="720"/>
        <w:rPr>
          <w:rFonts w:cs="Times New Roman"/>
          <w:bCs/>
          <w:lang w:val="lt-LT"/>
        </w:rPr>
      </w:pPr>
      <w:r w:rsidRPr="00185053">
        <w:rPr>
          <w:rFonts w:cs="Times New Roman"/>
          <w:bCs/>
          <w:lang w:val="lt-LT"/>
        </w:rPr>
        <w:t>ir kt.</w:t>
      </w:r>
    </w:p>
    <w:p w14:paraId="138AA22F" w14:textId="77777777" w:rsidR="00092466" w:rsidRPr="00185053" w:rsidRDefault="00092466" w:rsidP="00092466">
      <w:pPr>
        <w:pStyle w:val="Body2"/>
        <w:rPr>
          <w:rFonts w:cs="Times New Roman"/>
          <w:color w:val="auto"/>
          <w:lang w:val="lt-LT"/>
        </w:rPr>
      </w:pPr>
      <w:r w:rsidRPr="00185053">
        <w:rPr>
          <w:rFonts w:cs="Times New Roman"/>
          <w:color w:val="auto"/>
          <w:lang w:val="lt-LT"/>
        </w:rPr>
        <w:tab/>
        <w:t>C. Dėl aukščiau išvardintų nenumatytų aplinkybių nepriklausančių nuo Rangovo darbai pagal Sutartis negali būti pabaigti 2023 metais, kaip buvo numatyta finansavimo sąlygose:</w:t>
      </w:r>
    </w:p>
    <w:p w14:paraId="487CB03A" w14:textId="77777777" w:rsidR="00092466" w:rsidRPr="00185053" w:rsidRDefault="00092466" w:rsidP="00092466">
      <w:pPr>
        <w:pStyle w:val="Body2"/>
        <w:ind w:firstLine="720"/>
        <w:rPr>
          <w:rStyle w:val="normaltextrun"/>
          <w:i/>
          <w:iCs/>
          <w:shd w:val="clear" w:color="auto" w:fill="FFFFFF"/>
          <w:lang w:val="lt-LT"/>
        </w:rPr>
      </w:pPr>
      <w:r w:rsidRPr="00185053">
        <w:rPr>
          <w:rStyle w:val="normaltextrun"/>
          <w:shd w:val="clear" w:color="auto" w:fill="FFFFFF"/>
          <w:lang w:val="lt-LT"/>
        </w:rPr>
        <w:t xml:space="preserve">Kaip nurodyta Preliminariosios sutarties 1.4 punkte, Sutarčių vykdymas finansuojamas ES fondų lėšomis pagal projektus: </w:t>
      </w:r>
      <w:r w:rsidRPr="00185053">
        <w:rPr>
          <w:rStyle w:val="normaltextrun"/>
          <w:i/>
          <w:iCs/>
          <w:shd w:val="clear" w:color="auto" w:fill="FFFFFF"/>
          <w:lang w:val="lt-LT"/>
        </w:rPr>
        <w:t>ES fondų investicijų veiksmų programos 5 prioriteto „Aplinkosauga, gamtos išteklių darnus naudojimas ir prisitaikymas prie klimato kaitos“ priemonę „Aktualizuoti kultūros paveldo objektus“ projektą Nr. 07.1.1-CPVA-V-304-01-0017 „Šiuolaikinio meno centro modernizavimas“  ir   ES fondų investicijų veiksmų programos 4 prioriteto „Energijos efektyvumo ir atsinaujinančių išteklių energijos gamybos ir naudojimo skatinimas“  priemonę „Valstybei nuosavybės teise priklausančių pastatų atnaujinimas (II)" projektą "Šiuolaikinio meno centro modernizavimas"  Nr. 04.3.1-VIPA-T-113-02-0001.</w:t>
      </w:r>
    </w:p>
    <w:p w14:paraId="72818206" w14:textId="77777777" w:rsidR="00092466" w:rsidRPr="00185053" w:rsidRDefault="00092466" w:rsidP="00092466">
      <w:pPr>
        <w:pStyle w:val="Body2"/>
        <w:ind w:firstLine="720"/>
        <w:rPr>
          <w:rFonts w:cs="Times New Roman"/>
          <w:color w:val="auto"/>
          <w:lang w:val="lt-LT"/>
        </w:rPr>
      </w:pPr>
      <w:r w:rsidRPr="00185053">
        <w:rPr>
          <w:rStyle w:val="normaltextrun"/>
          <w:shd w:val="clear" w:color="auto" w:fill="FFFFFF"/>
          <w:lang w:val="lt-LT"/>
        </w:rPr>
        <w:t xml:space="preserve">ES fondų lėšos Sutarčių vykdymui gali būti naudojamos ne vėliau nei iki </w:t>
      </w:r>
      <w:r w:rsidRPr="00185053">
        <w:rPr>
          <w:rFonts w:cs="Times New Roman"/>
          <w:color w:val="auto"/>
          <w:lang w:val="lt-LT"/>
        </w:rPr>
        <w:t>2023 m. gruodžio 31 d., todėl Rangovo padėtis dėl kilusių nenumatytų aplinkybių pasikeičia taip, kaip nebuvo numatyta sudaromose Sutartyse, t. y. Rangovas neturi garantijų, kad Užsakovas turės galimybę apmokėti už darbus atliktus po 2023 m. gruodžio 31 d.</w:t>
      </w:r>
    </w:p>
    <w:p w14:paraId="6D662207"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D. Siekiant tęsti darbų vykdymą Rangovas reikalauja garantuoti atliktų darbų apmokėjimą.</w:t>
      </w:r>
    </w:p>
    <w:p w14:paraId="02345E82" w14:textId="128AA7EC" w:rsidR="00092466" w:rsidRPr="00185053" w:rsidRDefault="00092466" w:rsidP="00092466">
      <w:pPr>
        <w:pStyle w:val="Body2"/>
        <w:ind w:firstLine="720"/>
        <w:rPr>
          <w:rFonts w:cs="Times New Roman"/>
          <w:color w:val="auto"/>
          <w:lang w:val="lt-LT"/>
        </w:rPr>
      </w:pPr>
      <w:r w:rsidRPr="00185053">
        <w:rPr>
          <w:rFonts w:cs="Times New Roman"/>
          <w:color w:val="auto"/>
          <w:lang w:val="lt-LT"/>
        </w:rPr>
        <w:t>E. Užsakovas sutinka garantuoti atliktų darbų apmokėjimą toliau nurodytomis sąlygomis. Užsakovas  dalies neatliktų darbų pagal Sutartis sumą perves į šiam mokėjimui skirtas Rangovo sąskaitas, esančias AB Šiaulių banke (toliau - Bankas), jei  Rangovas pateiks Užsakovui banko garantijas, kad pervestomis lėšomis Rangovas neturės teisės pilnai disponuoti iki Šalys pasirašys ataskaitinio laikotarpio Atliktų darbų aktus. Disponavimas pagal šį susitarimą Užsakovo pervestomis lėšomis draudžiamas iki faktinio darbų atlikimo ir jų priėmimo ataskaitinio laikotarpio Atliktų darbų aktais dėl tos priežasties, kad šis Sutarčių pakeitimas nepažeistų Šalių ekonominės pusiausvyros taip, kaip nebuvo numatyta pirminėse Sutartyse, t. y., kad Rangovas faktiškai apmokėjimą gautų tik po darbų atlikimo ir priėmimo. Rangovui neatlikus darbų Bankas turi įsipareigoti neatliktų darbų sumą grąžinti Užsakovui.</w:t>
      </w:r>
    </w:p>
    <w:p w14:paraId="2E1A4D5C" w14:textId="77777777" w:rsidR="00092466" w:rsidRPr="00185053" w:rsidRDefault="00092466" w:rsidP="00092466">
      <w:pPr>
        <w:pStyle w:val="Body2"/>
        <w:rPr>
          <w:rFonts w:cs="Times New Roman"/>
          <w:color w:val="auto"/>
          <w:lang w:val="lt-LT"/>
        </w:rPr>
      </w:pPr>
      <w:r w:rsidRPr="00185053">
        <w:rPr>
          <w:rFonts w:cs="Times New Roman"/>
          <w:color w:val="auto"/>
          <w:lang w:val="lt-LT"/>
        </w:rPr>
        <w:tab/>
        <w:t xml:space="preserve">F. Šalys turi teisę keisti Sutarčių sąlygas, vadovaujantis Viešųjų pirkimų įstatymo (toliau – VPĮ) 89 straipsnio nuostatomis. Šis susitarimas sudaromas remiantis toliau nurodytais </w:t>
      </w:r>
      <w:r w:rsidRPr="00185053">
        <w:rPr>
          <w:rFonts w:cs="Times New Roman"/>
          <w:lang w:val="lt-LT"/>
        </w:rPr>
        <w:t>VPĮ 89 straipsnio pagrindais.</w:t>
      </w:r>
    </w:p>
    <w:p w14:paraId="42169BBD" w14:textId="77777777" w:rsidR="00092466" w:rsidRPr="00185053" w:rsidRDefault="00092466" w:rsidP="00092466">
      <w:pPr>
        <w:pStyle w:val="Body2"/>
        <w:ind w:firstLine="720"/>
        <w:rPr>
          <w:rFonts w:cs="Times New Roman"/>
          <w:i/>
          <w:iCs/>
          <w:color w:val="auto"/>
          <w:lang w:val="lt-LT"/>
        </w:rPr>
      </w:pPr>
      <w:r w:rsidRPr="00185053">
        <w:rPr>
          <w:rFonts w:cs="Times New Roman"/>
          <w:lang w:val="lt-LT"/>
        </w:rPr>
        <w:t xml:space="preserve">G. Vadovaujantis </w:t>
      </w:r>
      <w:r w:rsidRPr="00185053">
        <w:rPr>
          <w:rFonts w:cs="Times New Roman"/>
          <w:b/>
          <w:bCs/>
          <w:lang w:val="lt-LT"/>
        </w:rPr>
        <w:t xml:space="preserve">VPĮ 89 straipsnio 1 dalies 3 punktu </w:t>
      </w:r>
      <w:r w:rsidRPr="00185053">
        <w:rPr>
          <w:rFonts w:cs="Times New Roman"/>
          <w:b/>
          <w:bCs/>
          <w:i/>
          <w:iCs/>
          <w:lang w:val="lt-LT"/>
        </w:rPr>
        <w:t>(nenumatytos aplinkybės)</w:t>
      </w:r>
      <w:r w:rsidRPr="00185053">
        <w:rPr>
          <w:rFonts w:cs="Times New Roman"/>
          <w:lang w:val="lt-LT"/>
        </w:rPr>
        <w:t xml:space="preserve">, </w:t>
      </w:r>
      <w:r w:rsidRPr="00185053">
        <w:rPr>
          <w:rFonts w:cs="Times New Roman"/>
          <w:color w:val="auto"/>
          <w:lang w:val="lt-LT"/>
        </w:rPr>
        <w:t xml:space="preserve">Sutartis gali būti keičiama neatliekant naujos pirkimo procedūros, kai </w:t>
      </w:r>
      <w:r w:rsidRPr="00185053">
        <w:rPr>
          <w:rFonts w:cs="Times New Roman"/>
          <w:i/>
          <w:iCs/>
          <w:color w:val="auto"/>
          <w:lang w:val="lt-LT"/>
        </w:rPr>
        <w:t>„pakeitimo poreikis atsirado dėl aplinkybių, kurių protinga ir apdairi perkančioji organizacija negalėjo numatyti, ir kai kartu yra šios sąlygos:</w:t>
      </w:r>
    </w:p>
    <w:p w14:paraId="78617FEB" w14:textId="77777777" w:rsidR="00092466" w:rsidRPr="00185053" w:rsidRDefault="00092466" w:rsidP="00092466">
      <w:pPr>
        <w:pStyle w:val="Body2"/>
        <w:rPr>
          <w:rFonts w:cs="Times New Roman"/>
          <w:i/>
          <w:iCs/>
          <w:lang w:val="lt-LT"/>
        </w:rPr>
      </w:pPr>
      <w:r w:rsidRPr="00185053">
        <w:rPr>
          <w:rFonts w:cs="Times New Roman"/>
          <w:i/>
          <w:iCs/>
          <w:lang w:val="lt-LT"/>
        </w:rPr>
        <w:tab/>
        <w:t>a) pakeitimas iš esmės nepakeičia pirkimo sutarties ar preliminariosios sutarties pobūdžio;</w:t>
      </w:r>
    </w:p>
    <w:p w14:paraId="4F75478A" w14:textId="77777777" w:rsidR="00092466" w:rsidRPr="00185053" w:rsidRDefault="00092466" w:rsidP="00092466">
      <w:pPr>
        <w:autoSpaceDE w:val="0"/>
        <w:autoSpaceDN w:val="0"/>
        <w:adjustRightInd w:val="0"/>
        <w:spacing w:after="40"/>
        <w:jc w:val="both"/>
        <w:rPr>
          <w:i/>
          <w:iCs/>
          <w:color w:val="000000"/>
          <w:sz w:val="22"/>
          <w:szCs w:val="22"/>
        </w:rPr>
      </w:pPr>
      <w:r w:rsidRPr="00185053">
        <w:rPr>
          <w:i/>
          <w:iCs/>
          <w:sz w:val="22"/>
          <w:szCs w:val="22"/>
        </w:rPr>
        <w:tab/>
        <w:t>b) atskiro pakeitimo vertė neviršija 50 procentų pradinės pirkimo sutarties vertės. Tokiais pakeitimais negali būti siekiama išvengti šiame įstatyme pirkimui nustatytos tvarkos taikymo“</w:t>
      </w:r>
      <w:r w:rsidRPr="00185053">
        <w:rPr>
          <w:i/>
          <w:iCs/>
          <w:color w:val="000000"/>
          <w:sz w:val="22"/>
          <w:szCs w:val="22"/>
        </w:rPr>
        <w:t>.</w:t>
      </w:r>
    </w:p>
    <w:p w14:paraId="61466BFF" w14:textId="77777777" w:rsidR="00092466" w:rsidRPr="00185053" w:rsidRDefault="00092466" w:rsidP="00092466">
      <w:pPr>
        <w:autoSpaceDE w:val="0"/>
        <w:autoSpaceDN w:val="0"/>
        <w:adjustRightInd w:val="0"/>
        <w:spacing w:after="40"/>
        <w:jc w:val="both"/>
        <w:rPr>
          <w:color w:val="000000"/>
          <w:sz w:val="22"/>
          <w:szCs w:val="22"/>
        </w:rPr>
      </w:pPr>
      <w:r w:rsidRPr="00185053">
        <w:rPr>
          <w:i/>
          <w:iCs/>
          <w:color w:val="000000"/>
          <w:sz w:val="22"/>
          <w:szCs w:val="22"/>
        </w:rPr>
        <w:tab/>
      </w:r>
      <w:r w:rsidRPr="00185053">
        <w:t xml:space="preserve">H. </w:t>
      </w:r>
      <w:r w:rsidRPr="00185053">
        <w:rPr>
          <w:color w:val="000000"/>
          <w:sz w:val="22"/>
          <w:szCs w:val="22"/>
        </w:rPr>
        <w:t xml:space="preserve">Vadovaujantis </w:t>
      </w:r>
      <w:r w:rsidRPr="00185053">
        <w:rPr>
          <w:b/>
          <w:bCs/>
          <w:color w:val="000000"/>
          <w:sz w:val="22"/>
          <w:szCs w:val="22"/>
        </w:rPr>
        <w:t xml:space="preserve">VPĮ 89 straipsnio 1 dalies 5 punktu </w:t>
      </w:r>
      <w:r w:rsidRPr="00185053">
        <w:rPr>
          <w:b/>
          <w:bCs/>
          <w:i/>
          <w:iCs/>
          <w:color w:val="000000"/>
          <w:sz w:val="22"/>
          <w:szCs w:val="22"/>
        </w:rPr>
        <w:t>(neesminiai keitimai)</w:t>
      </w:r>
      <w:r w:rsidRPr="00185053">
        <w:rPr>
          <w:color w:val="000000"/>
          <w:sz w:val="22"/>
          <w:szCs w:val="22"/>
        </w:rPr>
        <w:t>, Sutartis gali būti keičiama neatliekant naujos pirkimo procedūros, kai pakeitimas, neatsižvelgiant į jo vertę, nėra esminis, kaip nustatyta VPĮ 89 straipsnio 4 dalyje. Pakeitimas sutarties galiojimo laikotarpiu laikomas esminiu, kai juo pakeičiamas pirkimo sutarties bendrasis pobūdis. Minėtame VPĮ straipsnyje nurodyta, jog bet kuriuo atveju esminiais pirkimo sutarties pakeitimais laikomi tokie pakeitimai, kai tenkinama bent viena iš šių sąlygų:</w:t>
      </w:r>
    </w:p>
    <w:p w14:paraId="65AA00EF" w14:textId="77777777" w:rsidR="00092466" w:rsidRPr="00185053" w:rsidRDefault="00092466" w:rsidP="00092466">
      <w:pPr>
        <w:autoSpaceDE w:val="0"/>
        <w:autoSpaceDN w:val="0"/>
        <w:adjustRightInd w:val="0"/>
        <w:spacing w:after="40"/>
        <w:jc w:val="both"/>
        <w:rPr>
          <w:i/>
          <w:iCs/>
          <w:color w:val="000000"/>
          <w:sz w:val="22"/>
          <w:szCs w:val="22"/>
        </w:rPr>
      </w:pPr>
      <w:r w:rsidRPr="00185053">
        <w:rPr>
          <w:i/>
          <w:iCs/>
          <w:color w:val="000000"/>
          <w:sz w:val="22"/>
          <w:szCs w:val="22"/>
        </w:rPr>
        <w:tab/>
        <w:t>„1) pakeitimu nustatoma nauja sąlyga, kurią įtraukus į pradinį pirkimą būtų galima priimti kitų kandidatų paraiškų, dalyvių pasiūlymų ar pirkimas sudomintų daugiau tiekėjų;</w:t>
      </w:r>
    </w:p>
    <w:p w14:paraId="45F2AEDC" w14:textId="77777777" w:rsidR="00092466" w:rsidRPr="00185053" w:rsidRDefault="00092466" w:rsidP="00092466">
      <w:pPr>
        <w:autoSpaceDE w:val="0"/>
        <w:autoSpaceDN w:val="0"/>
        <w:adjustRightInd w:val="0"/>
        <w:spacing w:after="40"/>
        <w:jc w:val="both"/>
        <w:rPr>
          <w:i/>
          <w:iCs/>
          <w:color w:val="000000"/>
          <w:sz w:val="22"/>
          <w:szCs w:val="22"/>
        </w:rPr>
      </w:pPr>
      <w:r w:rsidRPr="00185053">
        <w:rPr>
          <w:i/>
          <w:iCs/>
          <w:color w:val="000000"/>
          <w:sz w:val="22"/>
          <w:szCs w:val="22"/>
        </w:rPr>
        <w:tab/>
        <w:t>2) dėl pakeitimo ekonominė pirkimo sutarties ar preliminariosios sutarties pusiausvyra pasikeičia tiekėjo, su kuriuo sudaryta ši sutartis, naudai taip, kaip nebuvo aptarta pradinėje sutartyje;</w:t>
      </w:r>
    </w:p>
    <w:p w14:paraId="0A2B0631" w14:textId="77777777" w:rsidR="00092466" w:rsidRPr="00185053" w:rsidRDefault="00092466" w:rsidP="00092466">
      <w:pPr>
        <w:autoSpaceDE w:val="0"/>
        <w:autoSpaceDN w:val="0"/>
        <w:adjustRightInd w:val="0"/>
        <w:spacing w:after="40"/>
        <w:jc w:val="both"/>
        <w:rPr>
          <w:i/>
          <w:iCs/>
          <w:color w:val="000000"/>
          <w:sz w:val="22"/>
          <w:szCs w:val="22"/>
        </w:rPr>
      </w:pPr>
      <w:r w:rsidRPr="00185053">
        <w:rPr>
          <w:i/>
          <w:iCs/>
          <w:color w:val="000000"/>
          <w:sz w:val="22"/>
          <w:szCs w:val="22"/>
        </w:rPr>
        <w:tab/>
        <w:t>3) dėl pakeitimo labai padidėja pirkimo sutarties ar preliminariosios sutarties apimtis;</w:t>
      </w:r>
    </w:p>
    <w:p w14:paraId="2F99383B" w14:textId="77777777" w:rsidR="00092466" w:rsidRPr="00185053" w:rsidRDefault="00092466" w:rsidP="00092466">
      <w:pPr>
        <w:autoSpaceDE w:val="0"/>
        <w:autoSpaceDN w:val="0"/>
        <w:adjustRightInd w:val="0"/>
        <w:spacing w:after="40"/>
        <w:jc w:val="both"/>
        <w:rPr>
          <w:i/>
          <w:iCs/>
          <w:color w:val="000000"/>
          <w:sz w:val="22"/>
          <w:szCs w:val="22"/>
        </w:rPr>
      </w:pPr>
      <w:r w:rsidRPr="00185053">
        <w:rPr>
          <w:i/>
          <w:iCs/>
          <w:color w:val="000000"/>
          <w:sz w:val="22"/>
          <w:szCs w:val="22"/>
        </w:rPr>
        <w:tab/>
        <w:t>4) kai tiekėją, su kuriuo sudaryta pirkimo sutartis ar preliminarioji sutartis, pakeičia naujas tiekėjas dėl kitų priežasčių, negu VPĮ 89 straipsnio 1 dalies 4 punkte nurodytos priežastys“.</w:t>
      </w:r>
    </w:p>
    <w:p w14:paraId="240EEC47" w14:textId="77777777" w:rsidR="00092466" w:rsidRPr="00185053" w:rsidRDefault="00092466" w:rsidP="00092466">
      <w:pPr>
        <w:autoSpaceDE w:val="0"/>
        <w:autoSpaceDN w:val="0"/>
        <w:adjustRightInd w:val="0"/>
        <w:spacing w:after="40"/>
        <w:jc w:val="both"/>
        <w:rPr>
          <w:color w:val="000000"/>
          <w:sz w:val="22"/>
          <w:szCs w:val="22"/>
        </w:rPr>
      </w:pPr>
      <w:r w:rsidRPr="00185053">
        <w:rPr>
          <w:i/>
          <w:iCs/>
          <w:color w:val="000000"/>
          <w:sz w:val="22"/>
          <w:szCs w:val="22"/>
        </w:rPr>
        <w:tab/>
      </w:r>
      <w:r w:rsidRPr="00185053">
        <w:rPr>
          <w:color w:val="000000"/>
          <w:sz w:val="22"/>
          <w:szCs w:val="22"/>
        </w:rPr>
        <w:t xml:space="preserve">I. Teismų praktikoje išaiškinta, jog vienintelė aplinkybė, jog viešojo pirkimo sutarties pakeitimo poreikis kilo dėl objektyvių sutarties vykdymo sunkumo priežasčių, negali pateisinti viešojo pirkimo sutarties pakeitimo teisėtumo, jei dėl šio pakeitimo viešojo pirkimo konkurso metu, labai tikėtina, būtų dalyvavę daugiau tiekėjų. Vis dėlto ši tikimybė neturi būti vertinama atsietai nuo pirkimo objekto, viešojo pirkimo sąlygų, </w:t>
      </w:r>
      <w:r w:rsidRPr="00185053">
        <w:rPr>
          <w:i/>
          <w:iCs/>
          <w:color w:val="000000"/>
          <w:sz w:val="22"/>
          <w:szCs w:val="22"/>
        </w:rPr>
        <w:t xml:space="preserve">a </w:t>
      </w:r>
      <w:proofErr w:type="spellStart"/>
      <w:r w:rsidRPr="00185053">
        <w:rPr>
          <w:i/>
          <w:iCs/>
          <w:color w:val="000000"/>
          <w:sz w:val="22"/>
          <w:szCs w:val="22"/>
        </w:rPr>
        <w:t>fortiori</w:t>
      </w:r>
      <w:proofErr w:type="spellEnd"/>
      <w:r w:rsidRPr="00185053">
        <w:rPr>
          <w:color w:val="000000"/>
          <w:sz w:val="22"/>
          <w:szCs w:val="22"/>
        </w:rPr>
        <w:t xml:space="preserve">, sutarties trukmės, galimo tiekėjų rato ir pan., todėl tik tai, kad tam tikros sąlygos keičiamos, </w:t>
      </w:r>
      <w:r w:rsidRPr="00185053">
        <w:rPr>
          <w:i/>
          <w:iCs/>
          <w:color w:val="000000"/>
          <w:sz w:val="22"/>
          <w:szCs w:val="22"/>
        </w:rPr>
        <w:lastRenderedPageBreak/>
        <w:t xml:space="preserve">per </w:t>
      </w:r>
      <w:proofErr w:type="spellStart"/>
      <w:r w:rsidRPr="00185053">
        <w:rPr>
          <w:i/>
          <w:iCs/>
          <w:color w:val="000000"/>
          <w:sz w:val="22"/>
          <w:szCs w:val="22"/>
        </w:rPr>
        <w:t>se</w:t>
      </w:r>
      <w:proofErr w:type="spellEnd"/>
      <w:r w:rsidRPr="00185053">
        <w:rPr>
          <w:color w:val="000000"/>
          <w:sz w:val="22"/>
          <w:szCs w:val="22"/>
        </w:rPr>
        <w:t xml:space="preserve"> neturėtų reikšti esminio pakeitimo, neatsižvelgus į konkretaus atvejo aplinkybes. Sprendžiant dėl pakeitimo teisėtumo, kasacinio teismo vertinimu, taip pat svarbios ir aplinkybės, dėl kurių kilo poreikis keisti sutartį, ir jų vertinimas. Šiuo aspektu kasacinio teismo pažymėta, kad tiekėjui nepripažįstama išskirtinė, kitus pirkime dalyvavusius ar potencialius tiekėjus diskriminuojanti padėtis, jei situacijoje keisti viešojo pirkimo sutarties nuostatas atsidurtų bet kuris kitas ūkio subjektas (Lietuvos Aukščiausiojo Teismo Civilinių bylų skyriaus 2020 m. spalio 14 d. nutartis civilinėje byloje Nr. e3K-3-39-378/2020. Teismų praktika. 2020, 54, p. 177-227).</w:t>
      </w:r>
    </w:p>
    <w:p w14:paraId="6B8B2626" w14:textId="77777777" w:rsidR="00092466" w:rsidRPr="00185053" w:rsidRDefault="00092466" w:rsidP="00092466">
      <w:pPr>
        <w:autoSpaceDE w:val="0"/>
        <w:autoSpaceDN w:val="0"/>
        <w:adjustRightInd w:val="0"/>
        <w:spacing w:after="40"/>
        <w:jc w:val="both"/>
        <w:rPr>
          <w:color w:val="000000"/>
          <w:sz w:val="22"/>
          <w:szCs w:val="22"/>
        </w:rPr>
      </w:pPr>
      <w:r w:rsidRPr="00185053">
        <w:rPr>
          <w:i/>
          <w:iCs/>
          <w:color w:val="000000"/>
          <w:sz w:val="22"/>
          <w:szCs w:val="22"/>
        </w:rPr>
        <w:tab/>
      </w:r>
      <w:r w:rsidRPr="00185053">
        <w:rPr>
          <w:color w:val="000000"/>
          <w:sz w:val="22"/>
          <w:szCs w:val="22"/>
        </w:rPr>
        <w:t xml:space="preserve">J. Šis susitarimas pilnai atitinka VPĮ 89 straipsnio 1 dalies 3 punkto </w:t>
      </w:r>
      <w:r w:rsidRPr="00185053">
        <w:rPr>
          <w:i/>
          <w:iCs/>
          <w:color w:val="000000"/>
          <w:sz w:val="22"/>
          <w:szCs w:val="22"/>
        </w:rPr>
        <w:t>(nenumatytos aplinkybės)</w:t>
      </w:r>
      <w:r w:rsidRPr="00185053">
        <w:rPr>
          <w:color w:val="000000"/>
          <w:sz w:val="22"/>
          <w:szCs w:val="22"/>
        </w:rPr>
        <w:t xml:space="preserve"> ir VPĮ 89 straipsnio 1 dalies 5 punkto </w:t>
      </w:r>
      <w:r w:rsidRPr="00185053">
        <w:rPr>
          <w:i/>
          <w:iCs/>
          <w:color w:val="000000"/>
          <w:sz w:val="22"/>
          <w:szCs w:val="22"/>
        </w:rPr>
        <w:t>(neesminiai keitimai)</w:t>
      </w:r>
      <w:r w:rsidRPr="00185053">
        <w:rPr>
          <w:color w:val="000000"/>
          <w:sz w:val="22"/>
          <w:szCs w:val="22"/>
        </w:rPr>
        <w:t xml:space="preserve"> sąlygas, kadangi:</w:t>
      </w:r>
    </w:p>
    <w:p w14:paraId="54436F26" w14:textId="77777777" w:rsidR="00092466" w:rsidRPr="00185053" w:rsidRDefault="00092466" w:rsidP="00092466">
      <w:pPr>
        <w:autoSpaceDE w:val="0"/>
        <w:autoSpaceDN w:val="0"/>
        <w:adjustRightInd w:val="0"/>
        <w:spacing w:after="40"/>
        <w:ind w:firstLine="720"/>
        <w:jc w:val="both"/>
        <w:rPr>
          <w:color w:val="000000"/>
          <w:sz w:val="22"/>
          <w:szCs w:val="22"/>
        </w:rPr>
      </w:pPr>
      <w:r w:rsidRPr="00185053">
        <w:rPr>
          <w:color w:val="000000"/>
          <w:sz w:val="22"/>
          <w:szCs w:val="22"/>
        </w:rPr>
        <w:t>- pakeitimas iš esmės nepakeičia Sutarčių pobūdžio;</w:t>
      </w:r>
    </w:p>
    <w:p w14:paraId="3A0BDBA6" w14:textId="77777777" w:rsidR="00092466" w:rsidRPr="00185053" w:rsidRDefault="00092466" w:rsidP="00092466">
      <w:pPr>
        <w:autoSpaceDE w:val="0"/>
        <w:autoSpaceDN w:val="0"/>
        <w:adjustRightInd w:val="0"/>
        <w:spacing w:after="40"/>
        <w:ind w:firstLine="720"/>
        <w:jc w:val="both"/>
        <w:rPr>
          <w:color w:val="000000"/>
          <w:sz w:val="22"/>
          <w:szCs w:val="22"/>
        </w:rPr>
      </w:pPr>
      <w:r w:rsidRPr="00185053">
        <w:rPr>
          <w:color w:val="000000"/>
          <w:sz w:val="22"/>
          <w:szCs w:val="22"/>
        </w:rPr>
        <w:t>- pakeitimo vertė neviršija 50 procentų kiekvienos pradinės Sutarties vertės;</w:t>
      </w:r>
    </w:p>
    <w:p w14:paraId="73F636C9" w14:textId="77777777" w:rsidR="00092466" w:rsidRPr="00185053" w:rsidRDefault="00092466" w:rsidP="00092466">
      <w:pPr>
        <w:autoSpaceDE w:val="0"/>
        <w:autoSpaceDN w:val="0"/>
        <w:adjustRightInd w:val="0"/>
        <w:spacing w:after="40"/>
        <w:ind w:firstLine="720"/>
        <w:jc w:val="both"/>
        <w:rPr>
          <w:color w:val="000000"/>
          <w:sz w:val="22"/>
          <w:szCs w:val="22"/>
        </w:rPr>
      </w:pPr>
      <w:r w:rsidRPr="00185053">
        <w:rPr>
          <w:color w:val="000000"/>
          <w:sz w:val="22"/>
          <w:szCs w:val="22"/>
        </w:rPr>
        <w:t>- pakeitimu nustatoma nauja sąlyga, kurią įtraukus į pradinį pirkimą pirkimas nesudomintų daugiau tiekėjų;</w:t>
      </w:r>
    </w:p>
    <w:p w14:paraId="47A0A1CC" w14:textId="77777777" w:rsidR="00092466" w:rsidRPr="00185053" w:rsidRDefault="00092466" w:rsidP="00092466">
      <w:pPr>
        <w:autoSpaceDE w:val="0"/>
        <w:autoSpaceDN w:val="0"/>
        <w:adjustRightInd w:val="0"/>
        <w:spacing w:after="40"/>
        <w:ind w:firstLine="720"/>
        <w:jc w:val="both"/>
        <w:rPr>
          <w:color w:val="000000"/>
          <w:sz w:val="22"/>
          <w:szCs w:val="22"/>
        </w:rPr>
      </w:pPr>
      <w:r w:rsidRPr="00185053">
        <w:rPr>
          <w:color w:val="000000"/>
          <w:sz w:val="22"/>
          <w:szCs w:val="22"/>
        </w:rPr>
        <w:t>- dėl pakeitimo ekonominė Sutarčių pusiausvyra nepasikeičia Rangovo naudai;</w:t>
      </w:r>
    </w:p>
    <w:p w14:paraId="786BF4C9" w14:textId="77777777" w:rsidR="00092466" w:rsidRPr="00185053" w:rsidRDefault="00092466" w:rsidP="00092466">
      <w:pPr>
        <w:autoSpaceDE w:val="0"/>
        <w:autoSpaceDN w:val="0"/>
        <w:adjustRightInd w:val="0"/>
        <w:spacing w:after="40"/>
        <w:ind w:firstLine="720"/>
        <w:jc w:val="both"/>
        <w:rPr>
          <w:color w:val="000000"/>
          <w:sz w:val="22"/>
          <w:szCs w:val="22"/>
        </w:rPr>
      </w:pPr>
      <w:r w:rsidRPr="00185053">
        <w:rPr>
          <w:color w:val="000000"/>
          <w:sz w:val="22"/>
          <w:szCs w:val="22"/>
        </w:rPr>
        <w:t>- dėl pakeitimo nekeičiama Sutarčių apimtis.</w:t>
      </w:r>
    </w:p>
    <w:p w14:paraId="609AAF84" w14:textId="77777777" w:rsidR="00092466" w:rsidRPr="00185053" w:rsidRDefault="00092466" w:rsidP="00092466">
      <w:pPr>
        <w:pStyle w:val="Heading"/>
        <w:rPr>
          <w:rFonts w:cs="Times New Roman"/>
          <w:color w:val="auto"/>
          <w:lang w:val="lt-LT"/>
        </w:rPr>
      </w:pPr>
    </w:p>
    <w:p w14:paraId="294C3565" w14:textId="77777777" w:rsidR="00092466" w:rsidRPr="00185053" w:rsidRDefault="00092466" w:rsidP="00092466">
      <w:pPr>
        <w:pStyle w:val="Heading"/>
        <w:ind w:firstLine="720"/>
        <w:rPr>
          <w:rFonts w:cs="Times New Roman"/>
          <w:color w:val="auto"/>
          <w:lang w:val="lt-LT"/>
        </w:rPr>
      </w:pPr>
      <w:r w:rsidRPr="00185053">
        <w:rPr>
          <w:rFonts w:cs="Times New Roman"/>
          <w:color w:val="auto"/>
          <w:lang w:val="lt-LT"/>
        </w:rPr>
        <w:t>ŠALYS SUSITARIA:</w:t>
      </w:r>
    </w:p>
    <w:p w14:paraId="6BA92062" w14:textId="77777777" w:rsidR="00092466" w:rsidRPr="00185053" w:rsidRDefault="00092466" w:rsidP="00092466">
      <w:pPr>
        <w:pStyle w:val="Body"/>
        <w:spacing w:line="240" w:lineRule="auto"/>
        <w:jc w:val="both"/>
        <w:rPr>
          <w:rFonts w:ascii="Times New Roman" w:eastAsia="Times New Roman" w:hAnsi="Times New Roman" w:cs="Times New Roman"/>
          <w:b/>
          <w:bCs/>
          <w:color w:val="auto"/>
          <w:sz w:val="22"/>
          <w:szCs w:val="22"/>
          <w:lang w:val="lt-LT"/>
        </w:rPr>
      </w:pPr>
    </w:p>
    <w:p w14:paraId="524C2E63" w14:textId="77777777" w:rsidR="00092466" w:rsidRPr="00185053" w:rsidRDefault="00092466" w:rsidP="00092466">
      <w:pPr>
        <w:pStyle w:val="Heading"/>
        <w:rPr>
          <w:rFonts w:cs="Times New Roman"/>
          <w:color w:val="auto"/>
          <w:lang w:val="lt-LT"/>
        </w:rPr>
      </w:pPr>
      <w:r w:rsidRPr="00185053">
        <w:rPr>
          <w:rFonts w:cs="Times New Roman"/>
          <w:color w:val="auto"/>
          <w:lang w:val="lt-LT"/>
        </w:rPr>
        <w:tab/>
        <w:t>1. SUTARčių SĄLYGŲ PAKEITIMAS</w:t>
      </w:r>
    </w:p>
    <w:p w14:paraId="4F9C5D43" w14:textId="77777777" w:rsidR="00092466" w:rsidRPr="00185053" w:rsidRDefault="00092466" w:rsidP="00092466">
      <w:pPr>
        <w:pStyle w:val="Heading"/>
        <w:rPr>
          <w:rFonts w:cs="Times New Roman"/>
          <w:color w:val="auto"/>
          <w:lang w:val="lt-LT"/>
        </w:rPr>
      </w:pPr>
    </w:p>
    <w:p w14:paraId="3CB2B040" w14:textId="77777777" w:rsidR="00092466" w:rsidRPr="00185053" w:rsidRDefault="00092466" w:rsidP="00092466">
      <w:pPr>
        <w:pStyle w:val="Body2"/>
        <w:rPr>
          <w:rFonts w:cs="Times New Roman"/>
          <w:color w:val="auto"/>
          <w:lang w:val="lt-LT"/>
        </w:rPr>
      </w:pPr>
      <w:r w:rsidRPr="00185053">
        <w:rPr>
          <w:rFonts w:cs="Times New Roman"/>
          <w:color w:val="auto"/>
          <w:lang w:val="lt-LT"/>
        </w:rPr>
        <w:tab/>
        <w:t>1.1. Sutarčių Specialiosios sąlygos papildomos nauju 18 ir 19 punktais:</w:t>
      </w:r>
    </w:p>
    <w:p w14:paraId="2E206A15" w14:textId="7A635CDC" w:rsidR="00092466" w:rsidRPr="00185053" w:rsidRDefault="00092466" w:rsidP="00092466">
      <w:pPr>
        <w:pStyle w:val="Body2"/>
        <w:rPr>
          <w:rFonts w:cs="Times New Roman"/>
          <w:i/>
          <w:iCs/>
          <w:color w:val="auto"/>
          <w:lang w:val="lt-LT"/>
        </w:rPr>
      </w:pPr>
      <w:r w:rsidRPr="00185053">
        <w:rPr>
          <w:rFonts w:cs="Times New Roman"/>
          <w:i/>
          <w:iCs/>
          <w:color w:val="auto"/>
          <w:lang w:val="lt-LT"/>
        </w:rPr>
        <w:tab/>
        <w:t xml:space="preserve">„18. </w:t>
      </w:r>
      <w:bookmarkStart w:id="0" w:name="_Hlk154564756"/>
      <w:r w:rsidRPr="00185053">
        <w:rPr>
          <w:rFonts w:cs="Times New Roman"/>
          <w:i/>
          <w:iCs/>
          <w:color w:val="auto"/>
          <w:lang w:val="lt-LT"/>
        </w:rPr>
        <w:t xml:space="preserve">Užsakovas dalies neatliktų darbų pagal Sutartis sumas (844399,45 Eur pagal 2022-11-04 pagrindinę sutartį Nr. VPS-41 </w:t>
      </w:r>
      <w:r w:rsidRPr="00185053">
        <w:rPr>
          <w:color w:val="auto"/>
          <w:lang w:val="lt-LT"/>
        </w:rPr>
        <w:t xml:space="preserve"> ir </w:t>
      </w:r>
      <w:bookmarkStart w:id="1" w:name="_Hlk154697980"/>
      <w:r w:rsidRPr="00185053">
        <w:rPr>
          <w:rFonts w:cs="Times New Roman"/>
          <w:i/>
          <w:iCs/>
          <w:color w:val="auto"/>
          <w:lang w:val="lt-LT"/>
        </w:rPr>
        <w:t xml:space="preserve">603 835,67 </w:t>
      </w:r>
      <w:bookmarkEnd w:id="1"/>
      <w:r w:rsidRPr="00185053">
        <w:rPr>
          <w:rFonts w:cs="Times New Roman"/>
          <w:i/>
          <w:iCs/>
          <w:color w:val="auto"/>
          <w:lang w:val="lt-LT"/>
        </w:rPr>
        <w:t xml:space="preserve">Eur pagal 2023-12-27 pagrindinę sutartį Nr. VPS-79) perves į sąskaitą </w:t>
      </w:r>
      <w:bookmarkEnd w:id="0"/>
      <w:r w:rsidRPr="00185053">
        <w:rPr>
          <w:rFonts w:cs="Times New Roman"/>
          <w:i/>
          <w:iCs/>
          <w:color w:val="auto"/>
          <w:lang w:val="lt-LT"/>
        </w:rPr>
        <w:t>LT957189900005732526 (844399,45 Eur) ir į sąskaitą LT687189900005732527 (603 835,67 Eur), esančias AB Šiaulių banke (toliau - Bankas), kai Rangovas pateiks Užsakovui Banko garantiją, kad pervestomis lėšomis Rangovas neturės teisės pilnai disponuoti iki Šalys pasirašys ataskaitinio laikotarpio Atliktų darbų aktus. Disponavimas pagal šį susitarimą Užsakovo pervestomis lėšomis draudžiamas iki faktinio darbų atlikimo ir jų priėmimo ataskaitinio laikotarpio Atliktų darbų aktais dėl tos priežasties, kad šis Sutarčių pakeitimas nepažeistų Šalių ekonominės pusiausvyros taip, kaip nebuvo numatyta pirminėse Sutartyse, t. y., kad Rangovas faktiškai apmokėjimą gautų tik po darbų atlikimo ir jų priėmimo ataskaitinio laikotarpio Atliktų darbų aktais. Rangovo neatliktų darbų sumą Bankas turi įsipareigoti grąžinti Užsakovui.</w:t>
      </w:r>
    </w:p>
    <w:p w14:paraId="2C927182" w14:textId="77777777" w:rsidR="00092466" w:rsidRPr="00185053" w:rsidRDefault="00092466" w:rsidP="00092466">
      <w:pPr>
        <w:pStyle w:val="Body2"/>
        <w:ind w:firstLine="720"/>
        <w:rPr>
          <w:rFonts w:cs="Times New Roman"/>
          <w:i/>
          <w:iCs/>
          <w:color w:val="auto"/>
          <w:lang w:val="lt-LT"/>
        </w:rPr>
      </w:pPr>
      <w:r w:rsidRPr="00185053">
        <w:rPr>
          <w:rFonts w:cs="Times New Roman"/>
          <w:i/>
          <w:iCs/>
          <w:color w:val="auto"/>
          <w:lang w:val="lt-LT"/>
        </w:rPr>
        <w:t>19. Užsakovas, vadovaudamasis Lietuvos Respublikos pridėtinės vertės mokesčio įstatymo (toliau – PVM įstatymo) 96 straipsnio 1 dalies 3 punktu, PVM, apskaičiuotą už PVM įstatymo 7 straipsnio 4 punkte numatytus statybos darbus, kurie turės būti atlikti pagal 2022-11-04 pagrindinę sutartį Nr. VPS-41 ir 2023-12-27 pagrindinę sutartį Nr. VPS-79 sumoka Valstybinei mokesčių inspekcijai prie Lietuvos Respublikos finansų ministerijos avansu tą pačią dieną, kurią perveda lėšas Rangovui pagal aukščiau pateiktą 18 punktą.“.</w:t>
      </w:r>
    </w:p>
    <w:p w14:paraId="091965D1"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t>1.2. Kitos Sutarčių nuostatos, nenurodytos šio susitarimo dėl Sutarčių pakeitimo 1.1 punkte lieka nepakeistos.</w:t>
      </w:r>
    </w:p>
    <w:p w14:paraId="2E63B162" w14:textId="77777777" w:rsidR="00092466" w:rsidRPr="00185053" w:rsidRDefault="00092466" w:rsidP="00092466">
      <w:pPr>
        <w:pStyle w:val="Body2"/>
        <w:rPr>
          <w:rFonts w:cs="Times New Roman"/>
          <w:lang w:val="lt-LT"/>
        </w:rPr>
      </w:pPr>
    </w:p>
    <w:p w14:paraId="4198C7C1" w14:textId="77777777" w:rsidR="00092466" w:rsidRPr="00185053" w:rsidRDefault="00092466" w:rsidP="00092466">
      <w:pPr>
        <w:pStyle w:val="Heading"/>
        <w:rPr>
          <w:rFonts w:cs="Times New Roman"/>
          <w:color w:val="auto"/>
          <w:lang w:val="lt-LT"/>
        </w:rPr>
      </w:pPr>
      <w:r w:rsidRPr="00185053">
        <w:rPr>
          <w:rFonts w:cs="Times New Roman"/>
          <w:color w:val="auto"/>
          <w:lang w:val="lt-LT"/>
        </w:rPr>
        <w:tab/>
        <w:t>2. KITOS NUOSTATOS</w:t>
      </w:r>
    </w:p>
    <w:p w14:paraId="1D341813" w14:textId="77777777" w:rsidR="00092466" w:rsidRPr="00185053" w:rsidRDefault="00092466" w:rsidP="00092466">
      <w:pPr>
        <w:pStyle w:val="Body2"/>
        <w:rPr>
          <w:rFonts w:cs="Times New Roman"/>
          <w:color w:val="auto"/>
          <w:lang w:val="lt-LT"/>
        </w:rPr>
      </w:pPr>
    </w:p>
    <w:p w14:paraId="728C4606" w14:textId="77777777" w:rsidR="00092466" w:rsidRPr="00185053" w:rsidRDefault="00092466" w:rsidP="00092466">
      <w:pPr>
        <w:pStyle w:val="Body2"/>
        <w:rPr>
          <w:rFonts w:cs="Times New Roman"/>
          <w:color w:val="auto"/>
          <w:lang w:val="lt-LT"/>
        </w:rPr>
      </w:pPr>
      <w:r w:rsidRPr="00185053">
        <w:rPr>
          <w:rFonts w:cs="Times New Roman"/>
          <w:color w:val="auto"/>
          <w:lang w:val="lt-LT"/>
        </w:rPr>
        <w:tab/>
        <w:t>​2.1. Susitarimas įsigalioja, kai jį pasirašo abi Sutarties Šalys.</w:t>
      </w:r>
    </w:p>
    <w:p w14:paraId="0A674C12" w14:textId="77777777" w:rsidR="00092466" w:rsidRPr="00185053" w:rsidRDefault="00092466" w:rsidP="00092466">
      <w:pPr>
        <w:pStyle w:val="Body2"/>
        <w:rPr>
          <w:rFonts w:cs="Times New Roman"/>
          <w:color w:val="auto"/>
          <w:lang w:val="lt-LT"/>
        </w:rPr>
      </w:pPr>
      <w:r w:rsidRPr="00185053">
        <w:rPr>
          <w:rFonts w:cs="Times New Roman"/>
          <w:color w:val="auto"/>
          <w:lang w:val="lt-LT"/>
        </w:rPr>
        <w:t>​</w:t>
      </w:r>
      <w:r w:rsidRPr="00185053">
        <w:rPr>
          <w:rFonts w:cs="Times New Roman"/>
          <w:color w:val="auto"/>
          <w:lang w:val="lt-LT"/>
        </w:rPr>
        <w:tab/>
        <w:t>2.2. Susitarimas laikomas neatskiriama pagrindinių sutarčių dalimi, atitinkamai 2022-11-04 pagrindinės sutarties Nr. VPS-41 ir 2023-12-27 pagrindinės sutarties VPS-79.</w:t>
      </w:r>
    </w:p>
    <w:p w14:paraId="37DDF3A1" w14:textId="77777777" w:rsidR="00092466" w:rsidRPr="00185053" w:rsidRDefault="00092466" w:rsidP="00092466">
      <w:pPr>
        <w:pStyle w:val="Body2"/>
        <w:rPr>
          <w:rFonts w:cs="Times New Roman"/>
          <w:color w:val="auto"/>
          <w:lang w:val="lt-LT"/>
        </w:rPr>
      </w:pPr>
      <w:r w:rsidRPr="00185053">
        <w:rPr>
          <w:rFonts w:cs="Times New Roman"/>
          <w:color w:val="auto"/>
          <w:lang w:val="lt-LT"/>
        </w:rPr>
        <w:t>​</w:t>
      </w:r>
      <w:r w:rsidRPr="00185053">
        <w:rPr>
          <w:rFonts w:cs="Times New Roman"/>
          <w:color w:val="auto"/>
          <w:lang w:val="lt-LT"/>
        </w:rPr>
        <w:tab/>
        <w:t>2.3. Susitarime naudojamų sąvokų reikšmės atitinka Sutartyse pateiktus sąvokų apibrėžimus.</w:t>
      </w:r>
    </w:p>
    <w:p w14:paraId="58D83DF4" w14:textId="77777777" w:rsidR="00092466" w:rsidRPr="00185053" w:rsidRDefault="00092466" w:rsidP="00092466">
      <w:pPr>
        <w:pStyle w:val="Body2"/>
        <w:rPr>
          <w:rFonts w:cs="Times New Roman"/>
          <w:color w:val="auto"/>
          <w:lang w:val="lt-LT"/>
        </w:rPr>
      </w:pPr>
      <w:r w:rsidRPr="00185053">
        <w:rPr>
          <w:rFonts w:cs="Times New Roman"/>
          <w:color w:val="auto"/>
          <w:lang w:val="lt-LT"/>
        </w:rPr>
        <w:t>​</w:t>
      </w:r>
      <w:r w:rsidRPr="00185053">
        <w:rPr>
          <w:rFonts w:cs="Times New Roman"/>
          <w:color w:val="auto"/>
          <w:lang w:val="lt-LT"/>
        </w:rPr>
        <w:tab/>
      </w:r>
    </w:p>
    <w:p w14:paraId="7ACDAB01" w14:textId="77777777" w:rsidR="00092466" w:rsidRPr="00185053" w:rsidRDefault="00092466" w:rsidP="00092466">
      <w:pPr>
        <w:pStyle w:val="Body2"/>
        <w:rPr>
          <w:rFonts w:cs="Times New Roman"/>
          <w:color w:val="auto"/>
          <w:lang w:val="lt-LT"/>
        </w:rPr>
      </w:pPr>
    </w:p>
    <w:p w14:paraId="3F263EBF" w14:textId="77777777" w:rsidR="00092466" w:rsidRPr="00185053" w:rsidRDefault="00092466" w:rsidP="00092466">
      <w:pPr>
        <w:pStyle w:val="Body2"/>
        <w:rPr>
          <w:rFonts w:cs="Times New Roman"/>
          <w:color w:val="auto"/>
          <w:lang w:val="lt-LT"/>
        </w:rPr>
      </w:pPr>
    </w:p>
    <w:p w14:paraId="3942091E" w14:textId="77777777" w:rsidR="00092466" w:rsidRPr="00185053" w:rsidRDefault="00092466" w:rsidP="00092466">
      <w:pPr>
        <w:pStyle w:val="Body2"/>
        <w:rPr>
          <w:rFonts w:cs="Times New Roman"/>
          <w:color w:val="auto"/>
          <w:lang w:val="lt-LT"/>
        </w:rPr>
      </w:pPr>
    </w:p>
    <w:p w14:paraId="356494AC" w14:textId="77777777" w:rsidR="00092466" w:rsidRPr="00185053" w:rsidRDefault="00092466" w:rsidP="00092466">
      <w:pPr>
        <w:pStyle w:val="Body2"/>
        <w:rPr>
          <w:rFonts w:cs="Times New Roman"/>
          <w:color w:val="auto"/>
          <w:lang w:val="lt-LT"/>
        </w:rPr>
      </w:pPr>
    </w:p>
    <w:p w14:paraId="6EA85CFA" w14:textId="77777777" w:rsidR="00092466" w:rsidRPr="00185053" w:rsidRDefault="00092466" w:rsidP="00092466">
      <w:pPr>
        <w:pStyle w:val="Body2"/>
        <w:ind w:firstLine="720"/>
        <w:rPr>
          <w:rFonts w:cs="Times New Roman"/>
          <w:color w:val="auto"/>
          <w:lang w:val="lt-LT"/>
        </w:rPr>
      </w:pPr>
      <w:r w:rsidRPr="00185053">
        <w:rPr>
          <w:rFonts w:cs="Times New Roman"/>
          <w:color w:val="auto"/>
          <w:lang w:val="lt-LT"/>
        </w:rPr>
        <w:lastRenderedPageBreak/>
        <w:t>2.4. Susitarimas pasirašomas Šalių atstovų elektroniniais parašais.</w:t>
      </w:r>
    </w:p>
    <w:p w14:paraId="4C03E27F" w14:textId="77777777" w:rsidR="00092466" w:rsidRPr="00185053" w:rsidRDefault="00092466" w:rsidP="00092466">
      <w:pPr>
        <w:pStyle w:val="Body2"/>
        <w:ind w:firstLine="720"/>
        <w:rPr>
          <w:rFonts w:cs="Times New Roman"/>
          <w:color w:val="auto"/>
          <w:highlight w:val="yellow"/>
          <w:lang w:val="lt-LT"/>
        </w:rPr>
      </w:pPr>
    </w:p>
    <w:p w14:paraId="4C150FC2" w14:textId="77777777" w:rsidR="00092466" w:rsidRPr="00185053" w:rsidRDefault="00092466" w:rsidP="00092466">
      <w:pPr>
        <w:pStyle w:val="Heading"/>
        <w:rPr>
          <w:rFonts w:cs="Times New Roman"/>
          <w:color w:val="auto"/>
          <w:lang w:val="lt-LT"/>
        </w:rPr>
      </w:pPr>
      <w:r w:rsidRPr="00185053">
        <w:rPr>
          <w:rFonts w:cs="Times New Roman"/>
          <w:color w:val="auto"/>
          <w:lang w:val="lt-LT"/>
        </w:rPr>
        <w:tab/>
        <w:t>ŠALIŲ JURIDINIAI ADRESAI, REKVIZITAI IR PARAŠAI</w:t>
      </w:r>
    </w:p>
    <w:p w14:paraId="5F0A5559" w14:textId="77777777" w:rsidR="00092466" w:rsidRPr="00185053" w:rsidRDefault="00092466" w:rsidP="00092466">
      <w:pPr>
        <w:pStyle w:val="Heading"/>
        <w:rPr>
          <w:rFonts w:cs="Times New Roman"/>
          <w:color w:val="auto"/>
          <w:lang w:val="lt-LT"/>
        </w:rPr>
      </w:pPr>
    </w:p>
    <w:p w14:paraId="2A79294D" w14:textId="77777777" w:rsidR="00092466" w:rsidRPr="00185053" w:rsidRDefault="00092466" w:rsidP="00092466">
      <w:pPr>
        <w:pStyle w:val="paragraph"/>
        <w:spacing w:before="0" w:beforeAutospacing="0" w:after="0" w:afterAutospacing="0"/>
        <w:ind w:firstLine="720"/>
        <w:textAlignment w:val="baseline"/>
        <w:rPr>
          <w:rStyle w:val="eop"/>
          <w:b/>
          <w:bCs/>
          <w:caps/>
          <w:sz w:val="22"/>
          <w:szCs w:val="22"/>
        </w:rPr>
      </w:pPr>
      <w:r w:rsidRPr="00185053">
        <w:rPr>
          <w:rStyle w:val="normaltextrun"/>
          <w:b/>
          <w:bCs/>
          <w:caps/>
          <w:sz w:val="22"/>
          <w:szCs w:val="22"/>
        </w:rPr>
        <w:t>RANGOVAS</w:t>
      </w:r>
      <w:r w:rsidRPr="00185053">
        <w:rPr>
          <w:rStyle w:val="tabchar"/>
          <w:caps/>
          <w:sz w:val="22"/>
          <w:szCs w:val="22"/>
        </w:rPr>
        <w:tab/>
      </w:r>
      <w:r w:rsidRPr="00185053">
        <w:rPr>
          <w:rStyle w:val="tabchar"/>
          <w:caps/>
          <w:color w:val="434343"/>
          <w:sz w:val="22"/>
          <w:szCs w:val="22"/>
        </w:rPr>
        <w:tab/>
      </w:r>
      <w:r w:rsidRPr="00185053">
        <w:rPr>
          <w:rStyle w:val="tabchar"/>
          <w:caps/>
          <w:color w:val="434343"/>
          <w:sz w:val="22"/>
          <w:szCs w:val="22"/>
        </w:rPr>
        <w:tab/>
      </w:r>
      <w:r w:rsidRPr="00185053">
        <w:rPr>
          <w:rStyle w:val="tabchar"/>
          <w:caps/>
          <w:color w:val="434343"/>
          <w:sz w:val="22"/>
          <w:szCs w:val="22"/>
        </w:rPr>
        <w:tab/>
      </w:r>
      <w:r w:rsidRPr="00185053">
        <w:rPr>
          <w:rStyle w:val="tabchar"/>
          <w:caps/>
          <w:color w:val="434343"/>
          <w:sz w:val="22"/>
          <w:szCs w:val="22"/>
        </w:rPr>
        <w:tab/>
      </w:r>
      <w:r w:rsidRPr="00185053">
        <w:rPr>
          <w:rStyle w:val="tabchar"/>
          <w:caps/>
          <w:color w:val="434343"/>
          <w:sz w:val="22"/>
          <w:szCs w:val="22"/>
        </w:rPr>
        <w:tab/>
      </w:r>
      <w:r w:rsidRPr="00185053">
        <w:rPr>
          <w:rStyle w:val="normaltextrun"/>
          <w:b/>
          <w:bCs/>
          <w:caps/>
          <w:sz w:val="22"/>
          <w:szCs w:val="22"/>
        </w:rPr>
        <w:t>UŽSAKOVAS</w:t>
      </w:r>
      <w:r w:rsidRPr="00185053">
        <w:rPr>
          <w:rStyle w:val="eop"/>
          <w:b/>
          <w:bCs/>
          <w:caps/>
          <w:sz w:val="22"/>
          <w:szCs w:val="22"/>
        </w:rPr>
        <w:t> </w:t>
      </w:r>
    </w:p>
    <w:p w14:paraId="05322D04" w14:textId="77777777" w:rsidR="00092466" w:rsidRPr="00185053" w:rsidRDefault="00092466" w:rsidP="00092466">
      <w:pPr>
        <w:pStyle w:val="paragraph"/>
        <w:spacing w:before="0" w:beforeAutospacing="0" w:after="0" w:afterAutospacing="0"/>
        <w:ind w:firstLine="720"/>
        <w:textAlignment w:val="baseline"/>
        <w:rPr>
          <w:b/>
          <w:bCs/>
          <w:caps/>
          <w:color w:val="434343"/>
          <w:sz w:val="22"/>
          <w:szCs w:val="22"/>
        </w:rPr>
      </w:pPr>
    </w:p>
    <w:p w14:paraId="70F5B536"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b/>
          <w:bCs/>
          <w:sz w:val="22"/>
          <w:szCs w:val="22"/>
        </w:rPr>
        <w:t>UAB „HSC Baltic“</w:t>
      </w:r>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r w:rsidRPr="00185053">
        <w:rPr>
          <w:rStyle w:val="normaltextrun"/>
          <w:b/>
          <w:bCs/>
          <w:sz w:val="22"/>
          <w:szCs w:val="22"/>
        </w:rPr>
        <w:t>BĮ „Šiuolaikinio meno centras“</w:t>
      </w:r>
      <w:r w:rsidRPr="00185053">
        <w:rPr>
          <w:rStyle w:val="eop"/>
          <w:sz w:val="22"/>
          <w:szCs w:val="22"/>
        </w:rPr>
        <w:t> </w:t>
      </w:r>
    </w:p>
    <w:p w14:paraId="1D35D2C1"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Gabijos g. 32, 06155 Vilnius</w:t>
      </w:r>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r w:rsidRPr="00185053">
        <w:rPr>
          <w:rStyle w:val="normaltextrun"/>
          <w:sz w:val="22"/>
          <w:szCs w:val="22"/>
        </w:rPr>
        <w:t>Vokiečių g. 2, 01130 Vilnius</w:t>
      </w:r>
      <w:r w:rsidRPr="00185053">
        <w:rPr>
          <w:rStyle w:val="eop"/>
          <w:sz w:val="22"/>
          <w:szCs w:val="22"/>
        </w:rPr>
        <w:t> </w:t>
      </w:r>
    </w:p>
    <w:p w14:paraId="34E2EC96"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Juridinio asmens kodas 300130281</w:t>
      </w:r>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normaltextrun"/>
          <w:sz w:val="22"/>
          <w:szCs w:val="22"/>
        </w:rPr>
        <w:t>Juridinio asmens kodas 291424950</w:t>
      </w:r>
      <w:r w:rsidRPr="00185053">
        <w:rPr>
          <w:rStyle w:val="eop"/>
          <w:sz w:val="22"/>
          <w:szCs w:val="22"/>
        </w:rPr>
        <w:t> </w:t>
      </w:r>
    </w:p>
    <w:p w14:paraId="009B125C"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PVM mokėtojo kodas LT100001802611</w:t>
      </w:r>
      <w:r w:rsidRPr="00185053">
        <w:rPr>
          <w:rStyle w:val="tabchar"/>
          <w:sz w:val="22"/>
          <w:szCs w:val="22"/>
        </w:rPr>
        <w:tab/>
      </w:r>
      <w:r w:rsidRPr="00185053">
        <w:rPr>
          <w:rStyle w:val="tabchar"/>
          <w:color w:val="000000"/>
          <w:sz w:val="22"/>
          <w:szCs w:val="22"/>
        </w:rPr>
        <w:tab/>
      </w:r>
      <w:r w:rsidRPr="00185053">
        <w:rPr>
          <w:rStyle w:val="normaltextrun"/>
          <w:sz w:val="22"/>
          <w:szCs w:val="22"/>
        </w:rPr>
        <w:t xml:space="preserve">   </w:t>
      </w:r>
      <w:r w:rsidRPr="00185053">
        <w:rPr>
          <w:rStyle w:val="tabchar"/>
          <w:sz w:val="22"/>
          <w:szCs w:val="22"/>
        </w:rPr>
        <w:tab/>
      </w:r>
      <w:r w:rsidRPr="00185053">
        <w:rPr>
          <w:rStyle w:val="normaltextrun"/>
          <w:sz w:val="22"/>
          <w:szCs w:val="22"/>
        </w:rPr>
        <w:t>PVM mokėtojo kodas LT914249515</w:t>
      </w:r>
      <w:r w:rsidRPr="00185053">
        <w:rPr>
          <w:rStyle w:val="eop"/>
          <w:sz w:val="22"/>
          <w:szCs w:val="22"/>
        </w:rPr>
        <w:t> </w:t>
      </w:r>
    </w:p>
    <w:p w14:paraId="581BFB0F"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 xml:space="preserve">Banko </w:t>
      </w:r>
      <w:proofErr w:type="spellStart"/>
      <w:r w:rsidRPr="00185053">
        <w:rPr>
          <w:rStyle w:val="normaltextrun"/>
          <w:sz w:val="22"/>
          <w:szCs w:val="22"/>
        </w:rPr>
        <w:t>sąsk</w:t>
      </w:r>
      <w:proofErr w:type="spellEnd"/>
      <w:r w:rsidRPr="00185053">
        <w:rPr>
          <w:rStyle w:val="normaltextrun"/>
          <w:sz w:val="22"/>
          <w:szCs w:val="22"/>
        </w:rPr>
        <w:t>. Nr. LT07 7044 0600 0772 9902</w:t>
      </w:r>
      <w:r w:rsidRPr="00185053">
        <w:rPr>
          <w:rStyle w:val="tabchar"/>
          <w:sz w:val="22"/>
          <w:szCs w:val="22"/>
        </w:rPr>
        <w:tab/>
      </w:r>
      <w:r w:rsidRPr="00185053">
        <w:rPr>
          <w:rStyle w:val="tabchar"/>
          <w:color w:val="000000"/>
          <w:sz w:val="22"/>
          <w:szCs w:val="22"/>
        </w:rPr>
        <w:tab/>
      </w:r>
      <w:r w:rsidRPr="00185053">
        <w:rPr>
          <w:rStyle w:val="normaltextrun"/>
          <w:sz w:val="22"/>
          <w:szCs w:val="22"/>
        </w:rPr>
        <w:t xml:space="preserve">Banko </w:t>
      </w:r>
      <w:proofErr w:type="spellStart"/>
      <w:r w:rsidRPr="00185053">
        <w:rPr>
          <w:rStyle w:val="normaltextrun"/>
          <w:sz w:val="22"/>
          <w:szCs w:val="22"/>
        </w:rPr>
        <w:t>sąsk</w:t>
      </w:r>
      <w:proofErr w:type="spellEnd"/>
      <w:r w:rsidRPr="00185053">
        <w:rPr>
          <w:rStyle w:val="normaltextrun"/>
          <w:sz w:val="22"/>
          <w:szCs w:val="22"/>
        </w:rPr>
        <w:t>. Nr. LT114010051003260562</w:t>
      </w:r>
      <w:r w:rsidRPr="00185053">
        <w:rPr>
          <w:rStyle w:val="eop"/>
          <w:sz w:val="22"/>
          <w:szCs w:val="22"/>
        </w:rPr>
        <w:t> </w:t>
      </w:r>
    </w:p>
    <w:p w14:paraId="447B4BA9"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Bankas</w:t>
      </w:r>
      <w:r w:rsidRPr="00185053">
        <w:rPr>
          <w:rStyle w:val="tabchar"/>
          <w:sz w:val="22"/>
          <w:szCs w:val="22"/>
        </w:rPr>
        <w:tab/>
      </w:r>
      <w:r w:rsidRPr="00185053">
        <w:rPr>
          <w:rStyle w:val="normaltextrun"/>
          <w:sz w:val="22"/>
          <w:szCs w:val="22"/>
        </w:rPr>
        <w:t>SEB Bankas</w:t>
      </w:r>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proofErr w:type="spellStart"/>
      <w:r w:rsidRPr="00185053">
        <w:rPr>
          <w:rStyle w:val="normaltextrun"/>
          <w:sz w:val="22"/>
          <w:szCs w:val="22"/>
        </w:rPr>
        <w:t>Bankas</w:t>
      </w:r>
      <w:proofErr w:type="spellEnd"/>
      <w:r w:rsidRPr="00185053">
        <w:rPr>
          <w:rStyle w:val="normaltextrun"/>
          <w:sz w:val="22"/>
          <w:szCs w:val="22"/>
        </w:rPr>
        <w:t xml:space="preserve"> Luminor Bank</w:t>
      </w:r>
      <w:r w:rsidRPr="00185053">
        <w:rPr>
          <w:rStyle w:val="eop"/>
          <w:sz w:val="22"/>
          <w:szCs w:val="22"/>
        </w:rPr>
        <w:t> </w:t>
      </w:r>
    </w:p>
    <w:p w14:paraId="49127633"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Tel. (8 5) 65033527</w:t>
      </w:r>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normaltextrun"/>
          <w:sz w:val="22"/>
          <w:szCs w:val="22"/>
        </w:rPr>
        <w:t xml:space="preserve">  </w:t>
      </w:r>
      <w:r w:rsidRPr="00185053">
        <w:rPr>
          <w:rStyle w:val="tabchar"/>
          <w:sz w:val="22"/>
          <w:szCs w:val="22"/>
        </w:rPr>
        <w:tab/>
      </w:r>
      <w:r w:rsidRPr="00185053">
        <w:rPr>
          <w:rStyle w:val="tabchar"/>
          <w:color w:val="000000"/>
          <w:sz w:val="22"/>
          <w:szCs w:val="22"/>
        </w:rPr>
        <w:tab/>
      </w:r>
      <w:r w:rsidRPr="00185053">
        <w:rPr>
          <w:rStyle w:val="normaltextrun"/>
          <w:sz w:val="22"/>
          <w:szCs w:val="22"/>
        </w:rPr>
        <w:t>Tel. (8 5) 262 98 91</w:t>
      </w:r>
      <w:r w:rsidRPr="00185053">
        <w:rPr>
          <w:rStyle w:val="normaltextrun"/>
          <w:sz w:val="22"/>
          <w:szCs w:val="22"/>
        </w:rPr>
        <w:t>‬</w:t>
      </w:r>
      <w:r w:rsidRPr="00185053">
        <w:rPr>
          <w:rStyle w:val="eop"/>
          <w:sz w:val="22"/>
          <w:szCs w:val="22"/>
        </w:rPr>
        <w:t> </w:t>
      </w:r>
    </w:p>
    <w:p w14:paraId="644D5A44"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 xml:space="preserve">El. p. </w:t>
      </w:r>
      <w:proofErr w:type="spellStart"/>
      <w:r w:rsidRPr="00185053">
        <w:rPr>
          <w:rStyle w:val="normaltextrun"/>
          <w:sz w:val="22"/>
          <w:szCs w:val="22"/>
        </w:rPr>
        <w:t>info@hsc.lt</w:t>
      </w:r>
      <w:proofErr w:type="spellEnd"/>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normaltextrun"/>
          <w:sz w:val="22"/>
          <w:szCs w:val="22"/>
        </w:rPr>
        <w:t xml:space="preserve">   </w:t>
      </w:r>
      <w:r w:rsidRPr="00185053">
        <w:rPr>
          <w:rStyle w:val="tabchar"/>
          <w:sz w:val="22"/>
          <w:szCs w:val="22"/>
        </w:rPr>
        <w:tab/>
      </w:r>
      <w:r w:rsidRPr="00185053">
        <w:rPr>
          <w:rStyle w:val="tabchar"/>
          <w:sz w:val="22"/>
          <w:szCs w:val="22"/>
        </w:rPr>
        <w:tab/>
      </w:r>
      <w:r w:rsidRPr="00185053">
        <w:rPr>
          <w:rStyle w:val="normaltextrun"/>
          <w:sz w:val="22"/>
          <w:szCs w:val="22"/>
        </w:rPr>
        <w:t xml:space="preserve">El. p. </w:t>
      </w:r>
      <w:proofErr w:type="spellStart"/>
      <w:r w:rsidRPr="00185053">
        <w:rPr>
          <w:rStyle w:val="normaltextrun"/>
          <w:sz w:val="22"/>
          <w:szCs w:val="22"/>
        </w:rPr>
        <w:t>info@cac.lt</w:t>
      </w:r>
      <w:proofErr w:type="spellEnd"/>
      <w:r w:rsidRPr="00185053">
        <w:rPr>
          <w:rStyle w:val="eop"/>
          <w:sz w:val="22"/>
          <w:szCs w:val="22"/>
        </w:rPr>
        <w:t> </w:t>
      </w:r>
    </w:p>
    <w:p w14:paraId="068CD772"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b/>
          <w:bCs/>
          <w:sz w:val="22"/>
          <w:szCs w:val="22"/>
        </w:rPr>
        <w:t> </w:t>
      </w:r>
      <w:r w:rsidRPr="00185053">
        <w:rPr>
          <w:rStyle w:val="eop"/>
          <w:sz w:val="22"/>
          <w:szCs w:val="22"/>
        </w:rPr>
        <w:t> </w:t>
      </w:r>
    </w:p>
    <w:p w14:paraId="6431E3BD"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Gen. direktorius</w:t>
      </w:r>
      <w:r w:rsidRPr="00185053">
        <w:rPr>
          <w:rStyle w:val="tabchar"/>
          <w:sz w:val="22"/>
          <w:szCs w:val="22"/>
        </w:rPr>
        <w:tab/>
      </w:r>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proofErr w:type="spellStart"/>
      <w:r w:rsidRPr="00185053">
        <w:rPr>
          <w:rStyle w:val="normaltextrun"/>
          <w:sz w:val="22"/>
          <w:szCs w:val="22"/>
        </w:rPr>
        <w:t>Direktorius</w:t>
      </w:r>
      <w:proofErr w:type="spellEnd"/>
      <w:r w:rsidRPr="00185053">
        <w:rPr>
          <w:rStyle w:val="tabchar"/>
          <w:sz w:val="22"/>
          <w:szCs w:val="22"/>
        </w:rPr>
        <w:tab/>
      </w:r>
      <w:r w:rsidRPr="00185053">
        <w:rPr>
          <w:rStyle w:val="eop"/>
          <w:sz w:val="22"/>
          <w:szCs w:val="22"/>
        </w:rPr>
        <w:t> </w:t>
      </w:r>
    </w:p>
    <w:p w14:paraId="68FAB3C2" w14:textId="77777777" w:rsidR="00092466" w:rsidRPr="00185053" w:rsidRDefault="00092466" w:rsidP="00092466">
      <w:pPr>
        <w:pStyle w:val="paragraph"/>
        <w:spacing w:before="0" w:beforeAutospacing="0" w:after="0" w:afterAutospacing="0"/>
        <w:ind w:firstLine="720"/>
        <w:jc w:val="both"/>
        <w:textAlignment w:val="baseline"/>
        <w:rPr>
          <w:color w:val="000000"/>
          <w:sz w:val="22"/>
          <w:szCs w:val="22"/>
        </w:rPr>
      </w:pPr>
      <w:r w:rsidRPr="00185053">
        <w:rPr>
          <w:rStyle w:val="normaltextrun"/>
          <w:sz w:val="22"/>
          <w:szCs w:val="22"/>
        </w:rPr>
        <w:t xml:space="preserve">Rimvydas </w:t>
      </w:r>
      <w:proofErr w:type="spellStart"/>
      <w:r w:rsidRPr="00185053">
        <w:rPr>
          <w:rStyle w:val="normaltextrun"/>
          <w:sz w:val="22"/>
          <w:szCs w:val="22"/>
        </w:rPr>
        <w:t>Beržonskis</w:t>
      </w:r>
      <w:proofErr w:type="spellEnd"/>
      <w:r w:rsidRPr="00185053">
        <w:rPr>
          <w:rStyle w:val="tabchar"/>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r w:rsidRPr="00185053">
        <w:rPr>
          <w:rStyle w:val="tabchar"/>
          <w:color w:val="000000"/>
          <w:sz w:val="22"/>
          <w:szCs w:val="22"/>
        </w:rPr>
        <w:tab/>
      </w:r>
      <w:r w:rsidRPr="00185053">
        <w:rPr>
          <w:rStyle w:val="normaltextrun"/>
          <w:sz w:val="22"/>
          <w:szCs w:val="22"/>
        </w:rPr>
        <w:t>Kęstutis Kuizinas</w:t>
      </w:r>
      <w:r w:rsidRPr="00185053">
        <w:rPr>
          <w:rStyle w:val="eop"/>
          <w:sz w:val="22"/>
          <w:szCs w:val="22"/>
        </w:rPr>
        <w:t> </w:t>
      </w:r>
    </w:p>
    <w:p w14:paraId="74CEFB1B" w14:textId="77777777" w:rsidR="00092466" w:rsidRPr="00185053" w:rsidRDefault="00092466" w:rsidP="00092466">
      <w:pPr>
        <w:pStyle w:val="Body2"/>
        <w:rPr>
          <w:rFonts w:cs="Times New Roman"/>
          <w:lang w:val="lt-LT"/>
        </w:rPr>
      </w:pPr>
    </w:p>
    <w:p w14:paraId="4896ABA4" w14:textId="77777777" w:rsidR="00D460AF" w:rsidRPr="00185053" w:rsidRDefault="00D460AF"/>
    <w:sectPr w:rsidR="00D460AF" w:rsidRPr="00185053">
      <w:headerReference w:type="default" r:id="rId6"/>
      <w:footerReference w:type="default" r:id="rId7"/>
      <w:pgSz w:w="11900" w:h="16840"/>
      <w:pgMar w:top="1440" w:right="1200"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7AE6" w14:textId="77777777" w:rsidR="00E531AA" w:rsidRDefault="00E531AA">
      <w:r>
        <w:separator/>
      </w:r>
    </w:p>
  </w:endnote>
  <w:endnote w:type="continuationSeparator" w:id="0">
    <w:p w14:paraId="6FF2B725" w14:textId="77777777" w:rsidR="00E531AA" w:rsidRDefault="00E5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902" w14:textId="77777777" w:rsidR="005F43A3" w:rsidRPr="00185053" w:rsidRDefault="00000000">
    <w:pPr>
      <w:pStyle w:val="HeaderFooter"/>
      <w:tabs>
        <w:tab w:val="clear" w:pos="9020"/>
        <w:tab w:val="center" w:pos="4750"/>
        <w:tab w:val="right" w:pos="9500"/>
      </w:tabs>
      <w:rPr>
        <w:lang w:val="lt-LT"/>
      </w:rPr>
    </w:pPr>
    <w:r w:rsidRPr="00185053">
      <w:rPr>
        <w:rFonts w:ascii="Times New Roman" w:eastAsia="Times New Roman" w:hAnsi="Times New Roman" w:cs="Times New Roman"/>
        <w:sz w:val="18"/>
        <w:szCs w:val="18"/>
        <w:lang w:val="lt-LT"/>
      </w:rPr>
      <w:tab/>
    </w:r>
    <w:r w:rsidRPr="00185053">
      <w:rPr>
        <w:rFonts w:ascii="Times New Roman" w:eastAsia="Times New Roman" w:hAnsi="Times New Roman" w:cs="Times New Roman"/>
        <w:sz w:val="18"/>
        <w:szCs w:val="18"/>
        <w:lang w:val="lt-LT"/>
      </w:rPr>
      <w:tab/>
    </w:r>
    <w:r w:rsidRPr="00185053">
      <w:rPr>
        <w:rFonts w:ascii="Times New Roman" w:hAnsi="Times New Roman"/>
        <w:sz w:val="18"/>
        <w:szCs w:val="18"/>
        <w:lang w:val="lt-LT"/>
      </w:rPr>
      <w:t xml:space="preserve">Puslapis </w:t>
    </w:r>
    <w:r w:rsidRPr="00185053">
      <w:rPr>
        <w:rFonts w:ascii="Times New Roman" w:eastAsia="Times New Roman" w:hAnsi="Times New Roman" w:cs="Times New Roman"/>
        <w:sz w:val="18"/>
        <w:szCs w:val="18"/>
        <w:lang w:val="lt-LT"/>
      </w:rPr>
      <w:fldChar w:fldCharType="begin"/>
    </w:r>
    <w:r w:rsidRPr="00185053">
      <w:rPr>
        <w:rFonts w:ascii="Times New Roman" w:eastAsia="Times New Roman" w:hAnsi="Times New Roman" w:cs="Times New Roman"/>
        <w:sz w:val="18"/>
        <w:szCs w:val="18"/>
        <w:lang w:val="lt-LT"/>
      </w:rPr>
      <w:instrText xml:space="preserve"> PAGE </w:instrText>
    </w:r>
    <w:r w:rsidRPr="00185053">
      <w:rPr>
        <w:rFonts w:ascii="Times New Roman" w:eastAsia="Times New Roman" w:hAnsi="Times New Roman" w:cs="Times New Roman"/>
        <w:sz w:val="18"/>
        <w:szCs w:val="18"/>
        <w:lang w:val="lt-LT"/>
      </w:rPr>
      <w:fldChar w:fldCharType="separate"/>
    </w:r>
    <w:r w:rsidRPr="00185053">
      <w:rPr>
        <w:rFonts w:ascii="Times New Roman" w:eastAsia="Times New Roman" w:hAnsi="Times New Roman" w:cs="Times New Roman"/>
        <w:sz w:val="18"/>
        <w:szCs w:val="18"/>
        <w:lang w:val="lt-LT"/>
      </w:rPr>
      <w:t>1</w:t>
    </w:r>
    <w:r w:rsidRPr="00185053">
      <w:rPr>
        <w:rFonts w:ascii="Times New Roman" w:eastAsia="Times New Roman" w:hAnsi="Times New Roman" w:cs="Times New Roman"/>
        <w:sz w:val="18"/>
        <w:szCs w:val="18"/>
        <w:lang w:val="lt-LT"/>
      </w:rPr>
      <w:fldChar w:fldCharType="end"/>
    </w:r>
    <w:r w:rsidRPr="00185053">
      <w:rPr>
        <w:rFonts w:ascii="Times New Roman" w:hAnsi="Times New Roman"/>
        <w:sz w:val="18"/>
        <w:szCs w:val="18"/>
        <w:lang w:val="lt-LT"/>
      </w:rPr>
      <w:t xml:space="preserve"> iš </w:t>
    </w:r>
    <w:r w:rsidRPr="00185053">
      <w:rPr>
        <w:rFonts w:ascii="Times New Roman" w:eastAsia="Times New Roman" w:hAnsi="Times New Roman" w:cs="Times New Roman"/>
        <w:sz w:val="18"/>
        <w:szCs w:val="18"/>
        <w:lang w:val="lt-LT"/>
      </w:rPr>
      <w:fldChar w:fldCharType="begin"/>
    </w:r>
    <w:r w:rsidRPr="00185053">
      <w:rPr>
        <w:rFonts w:ascii="Times New Roman" w:eastAsia="Times New Roman" w:hAnsi="Times New Roman" w:cs="Times New Roman"/>
        <w:sz w:val="18"/>
        <w:szCs w:val="18"/>
        <w:lang w:val="lt-LT"/>
      </w:rPr>
      <w:instrText xml:space="preserve"> NUMPAGES </w:instrText>
    </w:r>
    <w:r w:rsidRPr="00185053">
      <w:rPr>
        <w:rFonts w:ascii="Times New Roman" w:eastAsia="Times New Roman" w:hAnsi="Times New Roman" w:cs="Times New Roman"/>
        <w:sz w:val="18"/>
        <w:szCs w:val="18"/>
        <w:lang w:val="lt-LT"/>
      </w:rPr>
      <w:fldChar w:fldCharType="separate"/>
    </w:r>
    <w:r w:rsidRPr="00185053">
      <w:rPr>
        <w:rFonts w:ascii="Times New Roman" w:eastAsia="Times New Roman" w:hAnsi="Times New Roman" w:cs="Times New Roman"/>
        <w:sz w:val="18"/>
        <w:szCs w:val="18"/>
        <w:lang w:val="lt-LT"/>
      </w:rPr>
      <w:t>3</w:t>
    </w:r>
    <w:r w:rsidRPr="00185053">
      <w:rPr>
        <w:rFonts w:ascii="Times New Roman" w:eastAsia="Times New Roman" w:hAnsi="Times New Roman" w:cs="Times New Roman"/>
        <w:sz w:val="18"/>
        <w:szCs w:val="18"/>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7FAD" w14:textId="77777777" w:rsidR="00E531AA" w:rsidRDefault="00E531AA">
      <w:r>
        <w:separator/>
      </w:r>
    </w:p>
  </w:footnote>
  <w:footnote w:type="continuationSeparator" w:id="0">
    <w:p w14:paraId="6184DEC5" w14:textId="77777777" w:rsidR="00E531AA" w:rsidRDefault="00E5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2EA6" w14:textId="77777777" w:rsidR="005F43A3" w:rsidRDefault="00000000">
    <w:r>
      <w:rPr>
        <w:noProof/>
        <w:lang w:eastAsia="lt-LT"/>
      </w:rPr>
      <mc:AlternateContent>
        <mc:Choice Requires="wps">
          <w:drawing>
            <wp:anchor distT="152400" distB="152400" distL="152400" distR="152400" simplePos="0" relativeHeight="251659264" behindDoc="1" locked="0" layoutInCell="1" allowOverlap="1" wp14:anchorId="5DD481BE" wp14:editId="3C8239E7">
              <wp:simplePos x="0" y="0"/>
              <wp:positionH relativeFrom="page">
                <wp:posOffset>762000</wp:posOffset>
              </wp:positionH>
              <wp:positionV relativeFrom="page">
                <wp:posOffset>723881</wp:posOffset>
              </wp:positionV>
              <wp:extent cx="6029665" cy="19"/>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29665" cy="19"/>
                      </a:xfrm>
                      <a:prstGeom prst="line">
                        <a:avLst/>
                      </a:prstGeom>
                      <a:noFill/>
                      <a:ln w="25400" cap="flat">
                        <a:solidFill>
                          <a:srgbClr val="535F65"/>
                        </a:solidFill>
                        <a:prstDash val="solid"/>
                        <a:miter lim="400000"/>
                      </a:ln>
                      <a:effectLst/>
                    </wps:spPr>
                    <wps:bodyPr/>
                  </wps:wsp>
                </a:graphicData>
              </a:graphic>
            </wp:anchor>
          </w:drawing>
        </mc:Choice>
        <mc:Fallback>
          <w:pict>
            <v:line w14:anchorId="29119F09" id="officeArt object" o:spid="_x0000_s1026" style="position:absolute;flip:y;z-index:-251657216;visibility:visible;mso-wrap-style:square;mso-wrap-distance-left:12pt;mso-wrap-distance-top:12pt;mso-wrap-distance-right:12pt;mso-wrap-distance-bottom:12pt;mso-position-horizontal:absolute;mso-position-horizontal-relative:page;mso-position-vertical:absolute;mso-position-vertical-relative:page" from="60pt,57pt" to="534.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" strokecolor="#535f65" strokeweight="2pt">
              <v:stroke miterlimit="4"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66"/>
    <w:rsid w:val="00092466"/>
    <w:rsid w:val="00185053"/>
    <w:rsid w:val="00446A94"/>
    <w:rsid w:val="005F43A3"/>
    <w:rsid w:val="006E66F2"/>
    <w:rsid w:val="007E5614"/>
    <w:rsid w:val="00C3300D"/>
    <w:rsid w:val="00D460AF"/>
    <w:rsid w:val="00E5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140B"/>
  <w15:chartTrackingRefBased/>
  <w15:docId w15:val="{86A17C69-4134-425E-9FA9-8ACD4919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92466"/>
    <w:pPr>
      <w:spacing w:after="0" w:line="240" w:lineRule="auto"/>
    </w:pPr>
    <w:rPr>
      <w:rFonts w:ascii="Times New Roman" w:eastAsia="Times New Roman" w:hAnsi="Times New Roman" w:cs="Times New Roman"/>
      <w:kern w:val="0"/>
      <w:sz w:val="24"/>
      <w:szCs w:val="24"/>
      <w:lang w:val="lt-LT" w:eastAsia="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erFooter">
    <w:name w:val="Header &amp; Footer"/>
    <w:rsid w:val="00092466"/>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color w:val="606060"/>
      <w:kern w:val="0"/>
      <w:sz w:val="20"/>
      <w:szCs w:val="20"/>
      <w:bdr w:val="nil"/>
      <w:lang w:eastAsia="en-GB"/>
      <w14:textOutline w14:w="0" w14:cap="flat" w14:cmpd="sng" w14:algn="ctr">
        <w14:noFill/>
        <w14:prstDash w14:val="solid"/>
        <w14:bevel/>
      </w14:textOutline>
      <w14:ligatures w14:val="none"/>
    </w:rPr>
  </w:style>
  <w:style w:type="paragraph" w:customStyle="1" w:styleId="Heading">
    <w:name w:val="Heading"/>
    <w:next w:val="Body2"/>
    <w:rsid w:val="00092466"/>
    <w:pPr>
      <w:pBdr>
        <w:top w:val="nil"/>
        <w:left w:val="nil"/>
        <w:bottom w:val="nil"/>
        <w:right w:val="nil"/>
        <w:between w:val="nil"/>
        <w:bar w:val="nil"/>
      </w:pBdr>
      <w:spacing w:after="0" w:line="240" w:lineRule="auto"/>
      <w:outlineLvl w:val="1"/>
    </w:pPr>
    <w:rPr>
      <w:rFonts w:ascii="Times New Roman" w:eastAsia="Arial Unicode MS" w:hAnsi="Times New Roman" w:cs="Arial Unicode MS"/>
      <w:b/>
      <w:bCs/>
      <w:caps/>
      <w:color w:val="444444"/>
      <w:spacing w:val="4"/>
      <w:kern w:val="0"/>
      <w:bdr w:val="nil"/>
      <w:lang w:eastAsia="en-GB"/>
      <w14:textOutline w14:w="0" w14:cap="flat" w14:cmpd="sng" w14:algn="ctr">
        <w14:noFill/>
        <w14:prstDash w14:val="solid"/>
        <w14:bevel/>
      </w14:textOutline>
      <w14:ligatures w14:val="none"/>
    </w:rPr>
  </w:style>
  <w:style w:type="paragraph" w:customStyle="1" w:styleId="Body2">
    <w:name w:val="Body 2"/>
    <w:rsid w:val="00092466"/>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kern w:val="0"/>
      <w:bdr w:val="nil"/>
      <w:lang w:eastAsia="en-GB"/>
      <w14:textOutline w14:w="0" w14:cap="flat" w14:cmpd="sng" w14:algn="ctr">
        <w14:noFill/>
        <w14:prstDash w14:val="solid"/>
        <w14:bevel/>
      </w14:textOutline>
      <w14:ligatures w14:val="none"/>
    </w:rPr>
  </w:style>
  <w:style w:type="paragraph" w:customStyle="1" w:styleId="Body">
    <w:name w:val="Body"/>
    <w:rsid w:val="0009246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kern w:val="0"/>
      <w:sz w:val="20"/>
      <w:szCs w:val="20"/>
      <w:bdr w:val="nil"/>
      <w:lang w:eastAsia="en-GB"/>
      <w14:textOutline w14:w="0" w14:cap="flat" w14:cmpd="sng" w14:algn="ctr">
        <w14:noFill/>
        <w14:prstDash w14:val="solid"/>
        <w14:bevel/>
      </w14:textOutline>
      <w14:ligatures w14:val="none"/>
    </w:rPr>
  </w:style>
  <w:style w:type="character" w:customStyle="1" w:styleId="normaltextrun">
    <w:name w:val="normaltextrun"/>
    <w:basedOn w:val="Numatytasispastraiposriftas"/>
    <w:rsid w:val="00092466"/>
  </w:style>
  <w:style w:type="character" w:customStyle="1" w:styleId="eop">
    <w:name w:val="eop"/>
    <w:basedOn w:val="Numatytasispastraiposriftas"/>
    <w:rsid w:val="00092466"/>
  </w:style>
  <w:style w:type="paragraph" w:customStyle="1" w:styleId="paragraph">
    <w:name w:val="paragraph"/>
    <w:basedOn w:val="prastasis"/>
    <w:rsid w:val="00092466"/>
    <w:pPr>
      <w:spacing w:before="100" w:beforeAutospacing="1" w:after="100" w:afterAutospacing="1"/>
    </w:pPr>
  </w:style>
  <w:style w:type="character" w:customStyle="1" w:styleId="tabchar">
    <w:name w:val="tabchar"/>
    <w:basedOn w:val="Numatytasispastraiposriftas"/>
    <w:rsid w:val="00092466"/>
  </w:style>
  <w:style w:type="paragraph" w:styleId="Antrats">
    <w:name w:val="header"/>
    <w:basedOn w:val="prastasis"/>
    <w:link w:val="AntratsDiagrama"/>
    <w:uiPriority w:val="99"/>
    <w:unhideWhenUsed/>
    <w:rsid w:val="00185053"/>
    <w:pPr>
      <w:tabs>
        <w:tab w:val="center" w:pos="4819"/>
        <w:tab w:val="right" w:pos="9638"/>
      </w:tabs>
    </w:pPr>
  </w:style>
  <w:style w:type="character" w:customStyle="1" w:styleId="AntratsDiagrama">
    <w:name w:val="Antraštės Diagrama"/>
    <w:basedOn w:val="Numatytasispastraiposriftas"/>
    <w:link w:val="Antrats"/>
    <w:uiPriority w:val="99"/>
    <w:rsid w:val="00185053"/>
    <w:rPr>
      <w:rFonts w:ascii="Times New Roman" w:eastAsia="Times New Roman" w:hAnsi="Times New Roman" w:cs="Times New Roman"/>
      <w:kern w:val="0"/>
      <w:sz w:val="24"/>
      <w:szCs w:val="24"/>
      <w:lang w:val="lt-LT" w:eastAsia="en-GB"/>
      <w14:ligatures w14:val="none"/>
    </w:rPr>
  </w:style>
  <w:style w:type="paragraph" w:styleId="Porat">
    <w:name w:val="footer"/>
    <w:basedOn w:val="prastasis"/>
    <w:link w:val="PoratDiagrama"/>
    <w:uiPriority w:val="99"/>
    <w:unhideWhenUsed/>
    <w:rsid w:val="00185053"/>
    <w:pPr>
      <w:tabs>
        <w:tab w:val="center" w:pos="4819"/>
        <w:tab w:val="right" w:pos="9638"/>
      </w:tabs>
    </w:pPr>
  </w:style>
  <w:style w:type="character" w:customStyle="1" w:styleId="PoratDiagrama">
    <w:name w:val="Poraštė Diagrama"/>
    <w:basedOn w:val="Numatytasispastraiposriftas"/>
    <w:link w:val="Porat"/>
    <w:uiPriority w:val="99"/>
    <w:rsid w:val="00185053"/>
    <w:rPr>
      <w:rFonts w:ascii="Times New Roman" w:eastAsia="Times New Roman" w:hAnsi="Times New Roman" w:cs="Times New Roman"/>
      <w:kern w:val="0"/>
      <w:sz w:val="24"/>
      <w:szCs w:val="24"/>
      <w:lang w:val="lt-LT"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8144</Words>
  <Characters>4643</Characters>
  <DocSecurity>0</DocSecurity>
  <Lines>38</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2024-01-03T11:48:00Z</dcterms:created>
  <dcterms:modified xsi:type="dcterms:W3CDTF">2024-01-03T11:50:00Z</dcterms:modified>
</cp:coreProperties>
</file>