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A784E" w14:textId="07F84308" w:rsidR="00647EF0" w:rsidRPr="00404864" w:rsidRDefault="00647EF0" w:rsidP="00404864">
      <w:pPr>
        <w:ind w:left="3888" w:firstLine="1296"/>
        <w:contextualSpacing/>
        <w:rPr>
          <w:lang w:val="lt-LT"/>
        </w:rPr>
      </w:pPr>
      <w:r w:rsidRPr="00404864">
        <w:rPr>
          <w:lang w:val="lt-LT"/>
        </w:rPr>
        <w:t>202</w:t>
      </w:r>
      <w:r w:rsidR="00404864" w:rsidRPr="00404864">
        <w:rPr>
          <w:lang w:val="lt-LT"/>
        </w:rPr>
        <w:t>3</w:t>
      </w:r>
      <w:r w:rsidRPr="00404864">
        <w:rPr>
          <w:lang w:val="lt-LT"/>
        </w:rPr>
        <w:t xml:space="preserve"> m.</w:t>
      </w:r>
      <w:r w:rsidR="00084B56">
        <w:rPr>
          <w:lang w:val="lt-LT"/>
        </w:rPr>
        <w:t xml:space="preserve"> spalio 27 </w:t>
      </w:r>
      <w:r w:rsidRPr="00404864">
        <w:rPr>
          <w:lang w:val="lt-LT"/>
        </w:rPr>
        <w:t>d.</w:t>
      </w:r>
    </w:p>
    <w:p w14:paraId="48762818" w14:textId="77777777" w:rsidR="00404864" w:rsidRPr="00404864" w:rsidRDefault="00647EF0" w:rsidP="00404864">
      <w:pPr>
        <w:ind w:left="5670" w:hanging="486"/>
        <w:contextualSpacing/>
        <w:rPr>
          <w:bCs/>
          <w:lang w:val="lt-LT"/>
        </w:rPr>
      </w:pPr>
      <w:r w:rsidRPr="00404864">
        <w:rPr>
          <w:lang w:val="lt-LT"/>
        </w:rPr>
        <w:t xml:space="preserve">Paslaugų viešojo </w:t>
      </w:r>
      <w:r w:rsidRPr="00404864">
        <w:rPr>
          <w:bCs/>
          <w:lang w:val="lt-LT"/>
        </w:rPr>
        <w:t xml:space="preserve">pirkimo–pardavimo </w:t>
      </w:r>
    </w:p>
    <w:p w14:paraId="77ECFFCD" w14:textId="33677E2B" w:rsidR="00647EF0" w:rsidRPr="00404864" w:rsidRDefault="00647EF0" w:rsidP="00404864">
      <w:pPr>
        <w:ind w:left="5670" w:hanging="486"/>
        <w:contextualSpacing/>
        <w:rPr>
          <w:bCs/>
          <w:lang w:val="lt-LT"/>
        </w:rPr>
      </w:pPr>
      <w:r w:rsidRPr="00404864">
        <w:rPr>
          <w:bCs/>
          <w:lang w:val="lt-LT"/>
        </w:rPr>
        <w:t>sutarties Nr.</w:t>
      </w:r>
      <w:r w:rsidR="00084B56">
        <w:rPr>
          <w:bCs/>
          <w:lang w:val="lt-LT"/>
        </w:rPr>
        <w:t xml:space="preserve"> 1S-232</w:t>
      </w:r>
      <w:bookmarkStart w:id="0" w:name="_GoBack"/>
      <w:bookmarkEnd w:id="0"/>
      <w:r w:rsidRPr="00404864">
        <w:rPr>
          <w:bCs/>
          <w:lang w:val="lt-LT"/>
        </w:rPr>
        <w:t xml:space="preserve"> </w:t>
      </w:r>
    </w:p>
    <w:p w14:paraId="5A1E4891" w14:textId="77777777" w:rsidR="00647EF0" w:rsidRPr="00404864" w:rsidRDefault="00647EF0" w:rsidP="00404864">
      <w:pPr>
        <w:ind w:left="3888" w:firstLine="1296"/>
        <w:rPr>
          <w:lang w:val="lt-LT"/>
        </w:rPr>
      </w:pPr>
      <w:r w:rsidRPr="00404864">
        <w:rPr>
          <w:lang w:val="lt-LT"/>
        </w:rPr>
        <w:t>priedas</w:t>
      </w:r>
      <w:r w:rsidR="00321A49" w:rsidRPr="00404864">
        <w:rPr>
          <w:lang w:val="lt-LT"/>
        </w:rPr>
        <w:t xml:space="preserve"> </w:t>
      </w:r>
    </w:p>
    <w:p w14:paraId="56D2CE7F" w14:textId="77777777" w:rsidR="00647EF0" w:rsidRPr="00404864" w:rsidRDefault="00647EF0" w:rsidP="00404864">
      <w:pPr>
        <w:tabs>
          <w:tab w:val="left" w:pos="142"/>
          <w:tab w:val="left" w:pos="426"/>
        </w:tabs>
        <w:jc w:val="center"/>
        <w:rPr>
          <w:rFonts w:eastAsia="Calibri"/>
          <w:b/>
          <w:noProof/>
          <w:lang w:val="lt-LT"/>
        </w:rPr>
      </w:pPr>
    </w:p>
    <w:p w14:paraId="7048C696" w14:textId="77777777" w:rsidR="00647EF0" w:rsidRPr="00404864" w:rsidRDefault="00647EF0" w:rsidP="00404864">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r w:rsidRPr="00404864">
        <w:rPr>
          <w:b/>
          <w:lang w:val="lt-LT"/>
        </w:rPr>
        <w:t>TECHNINĖ SPECIFIKACIJA</w:t>
      </w:r>
    </w:p>
    <w:p w14:paraId="32F74A46" w14:textId="77777777" w:rsidR="00647EF0" w:rsidRPr="00404864" w:rsidRDefault="00647EF0" w:rsidP="00404864">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53E93AEB" w14:textId="77777777" w:rsidR="00404864" w:rsidRPr="00404864" w:rsidRDefault="00404864" w:rsidP="00404864">
      <w:pPr>
        <w:jc w:val="center"/>
        <w:rPr>
          <w:b/>
          <w:lang w:val="lt-LT"/>
        </w:rPr>
      </w:pPr>
      <w:r w:rsidRPr="00404864">
        <w:rPr>
          <w:b/>
          <w:lang w:val="lt-LT"/>
        </w:rPr>
        <w:t>1. PERKAMŲ PASLAUGŲ SAVYBĖS</w:t>
      </w:r>
    </w:p>
    <w:p w14:paraId="35861AE5" w14:textId="77777777" w:rsidR="00404864" w:rsidRPr="00404864" w:rsidRDefault="00404864" w:rsidP="00404864">
      <w:pPr>
        <w:ind w:firstLine="567"/>
        <w:rPr>
          <w:lang w:val="lt-LT"/>
        </w:rPr>
      </w:pPr>
    </w:p>
    <w:p w14:paraId="74C28EA4" w14:textId="77777777" w:rsidR="00404864" w:rsidRPr="00404864" w:rsidRDefault="00404864" w:rsidP="00404864">
      <w:pPr>
        <w:ind w:firstLine="567"/>
        <w:rPr>
          <w:b/>
          <w:lang w:val="lt-LT"/>
        </w:rPr>
      </w:pPr>
      <w:r w:rsidRPr="00404864">
        <w:rPr>
          <w:b/>
          <w:lang w:val="lt-LT"/>
        </w:rPr>
        <w:t>1.1 Bendroji informacija</w:t>
      </w:r>
    </w:p>
    <w:p w14:paraId="66E72668" w14:textId="77777777" w:rsidR="00404864" w:rsidRPr="00404864" w:rsidRDefault="00404864" w:rsidP="00404864">
      <w:pPr>
        <w:ind w:firstLine="567"/>
        <w:rPr>
          <w:lang w:val="lt-LT"/>
        </w:rPr>
      </w:pPr>
      <w:r w:rsidRPr="00404864">
        <w:rPr>
          <w:lang w:val="lt-LT"/>
        </w:rPr>
        <w:t>1.1.1. Perkančioji organizacija, vadovaudamasi:</w:t>
      </w:r>
    </w:p>
    <w:tbl>
      <w:tblPr>
        <w:tblStyle w:val="Lentelstinklelis1"/>
        <w:tblW w:w="9493" w:type="dxa"/>
        <w:tblLook w:val="04A0" w:firstRow="1" w:lastRow="0" w:firstColumn="1" w:lastColumn="0" w:noHBand="0" w:noVBand="1"/>
      </w:tblPr>
      <w:tblGrid>
        <w:gridCol w:w="2972"/>
        <w:gridCol w:w="6521"/>
      </w:tblGrid>
      <w:tr w:rsidR="00404864" w:rsidRPr="00404864" w14:paraId="0950072B" w14:textId="77777777" w:rsidTr="00404864">
        <w:tc>
          <w:tcPr>
            <w:tcW w:w="2972" w:type="dxa"/>
          </w:tcPr>
          <w:p w14:paraId="4CB9554C" w14:textId="77777777" w:rsidR="00404864" w:rsidRPr="00404864" w:rsidRDefault="00404864" w:rsidP="00404864">
            <w:pPr>
              <w:rPr>
                <w:lang w:val="lt-LT"/>
              </w:rPr>
            </w:pPr>
            <w:r w:rsidRPr="00404864">
              <w:rPr>
                <w:lang w:val="lt-LT"/>
              </w:rPr>
              <w:t>Reglamentu 2021/1060</w:t>
            </w:r>
          </w:p>
        </w:tc>
        <w:tc>
          <w:tcPr>
            <w:tcW w:w="6521" w:type="dxa"/>
          </w:tcPr>
          <w:p w14:paraId="7D0A2590" w14:textId="77777777" w:rsidR="00404864" w:rsidRPr="00404864" w:rsidRDefault="00404864" w:rsidP="00404864">
            <w:pPr>
              <w:jc w:val="both"/>
              <w:rPr>
                <w:lang w:val="lt-LT"/>
              </w:rPr>
            </w:pPr>
            <w:r w:rsidRPr="00404864">
              <w:rPr>
                <w:lang w:val="lt-LT"/>
              </w:rPr>
              <w:t xml:space="preserve">2021 m. birželio 24 d. Europos Parlamento ir Tarybos reglamentas (ES)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kuris dar vadinamas </w:t>
            </w:r>
            <w:r w:rsidRPr="00404864">
              <w:rPr>
                <w:b/>
                <w:lang w:val="lt-LT"/>
              </w:rPr>
              <w:t>Bendrųjų nuostatų reglamentu (BNR)</w:t>
            </w:r>
          </w:p>
        </w:tc>
      </w:tr>
      <w:tr w:rsidR="00404864" w:rsidRPr="00404864" w14:paraId="7BADC587" w14:textId="77777777" w:rsidTr="00404864">
        <w:tc>
          <w:tcPr>
            <w:tcW w:w="2972" w:type="dxa"/>
          </w:tcPr>
          <w:p w14:paraId="5E2FA7DA" w14:textId="77777777" w:rsidR="00404864" w:rsidRPr="00404864" w:rsidRDefault="00404864" w:rsidP="00404864">
            <w:pPr>
              <w:rPr>
                <w:lang w:val="lt-LT"/>
              </w:rPr>
            </w:pPr>
            <w:r w:rsidRPr="00404864">
              <w:rPr>
                <w:lang w:val="lt-LT"/>
              </w:rPr>
              <w:t xml:space="preserve">Reglamentu </w:t>
            </w:r>
            <w:r w:rsidRPr="00404864">
              <w:rPr>
                <w:spacing w:val="-2"/>
                <w:lang w:val="lt-LT"/>
              </w:rPr>
              <w:t>2021/1148</w:t>
            </w:r>
          </w:p>
        </w:tc>
        <w:tc>
          <w:tcPr>
            <w:tcW w:w="6521" w:type="dxa"/>
          </w:tcPr>
          <w:p w14:paraId="65474EFA" w14:textId="77777777" w:rsidR="00404864" w:rsidRPr="00404864" w:rsidRDefault="00404864" w:rsidP="00404864">
            <w:pPr>
              <w:jc w:val="both"/>
              <w:rPr>
                <w:lang w:val="lt-LT"/>
              </w:rPr>
            </w:pPr>
            <w:r w:rsidRPr="00404864">
              <w:rPr>
                <w:spacing w:val="-2"/>
                <w:lang w:val="lt-LT"/>
              </w:rPr>
              <w:t>2021 m. liepos 7 d. Europos Parlamento ir Tarybos reglamentas (ES) (ES) 2021/1148, kuriuo sukuriama sienų valdymo ir vizų politikos finansinės paramos priemonė, įtraukta į Integruoto sienų valdymo fondą</w:t>
            </w:r>
          </w:p>
        </w:tc>
      </w:tr>
      <w:tr w:rsidR="00404864" w:rsidRPr="00404864" w14:paraId="02E75830" w14:textId="77777777" w:rsidTr="00404864">
        <w:tc>
          <w:tcPr>
            <w:tcW w:w="2972" w:type="dxa"/>
          </w:tcPr>
          <w:p w14:paraId="547FBDC9" w14:textId="77777777" w:rsidR="00404864" w:rsidRPr="00404864" w:rsidRDefault="00404864" w:rsidP="00404864">
            <w:pPr>
              <w:rPr>
                <w:lang w:val="lt-LT"/>
              </w:rPr>
            </w:pPr>
            <w:r w:rsidRPr="00404864">
              <w:rPr>
                <w:lang w:val="lt-LT"/>
              </w:rPr>
              <w:t xml:space="preserve">Reglamentu </w:t>
            </w:r>
            <w:r w:rsidRPr="00404864">
              <w:rPr>
                <w:spacing w:val="-2"/>
                <w:lang w:val="lt-LT"/>
              </w:rPr>
              <w:t>2021/1149</w:t>
            </w:r>
          </w:p>
        </w:tc>
        <w:tc>
          <w:tcPr>
            <w:tcW w:w="6521" w:type="dxa"/>
          </w:tcPr>
          <w:p w14:paraId="43A097AB" w14:textId="77777777" w:rsidR="00404864" w:rsidRPr="00404864" w:rsidRDefault="00404864" w:rsidP="00404864">
            <w:pPr>
              <w:jc w:val="both"/>
              <w:rPr>
                <w:lang w:val="lt-LT"/>
              </w:rPr>
            </w:pPr>
            <w:r w:rsidRPr="00404864">
              <w:rPr>
                <w:spacing w:val="-2"/>
                <w:lang w:val="lt-LT"/>
              </w:rPr>
              <w:t>2021 m. liepos 7 d. Europos Parlamento ir Tarybos reglamentas (ES) 2021/1149, kuriuo nustatomas Vidaus saugumo fondas</w:t>
            </w:r>
          </w:p>
        </w:tc>
      </w:tr>
      <w:tr w:rsidR="00404864" w:rsidRPr="00404864" w14:paraId="3BA5A41F" w14:textId="77777777" w:rsidTr="00404864">
        <w:tc>
          <w:tcPr>
            <w:tcW w:w="2972" w:type="dxa"/>
          </w:tcPr>
          <w:p w14:paraId="002ECD7B" w14:textId="77777777" w:rsidR="00404864" w:rsidRPr="00404864" w:rsidRDefault="00404864" w:rsidP="00404864">
            <w:pPr>
              <w:rPr>
                <w:lang w:val="lt-LT"/>
              </w:rPr>
            </w:pPr>
            <w:r w:rsidRPr="00404864">
              <w:rPr>
                <w:lang w:val="lt-LT"/>
              </w:rPr>
              <w:t>SVVP programa</w:t>
            </w:r>
          </w:p>
        </w:tc>
        <w:tc>
          <w:tcPr>
            <w:tcW w:w="6521" w:type="dxa"/>
          </w:tcPr>
          <w:p w14:paraId="1E8DA953" w14:textId="77777777" w:rsidR="00404864" w:rsidRPr="00404864" w:rsidRDefault="00404864" w:rsidP="00404864">
            <w:pPr>
              <w:jc w:val="both"/>
              <w:rPr>
                <w:lang w:val="lt-LT"/>
              </w:rPr>
            </w:pPr>
            <w:r w:rsidRPr="00404864">
              <w:rPr>
                <w:spacing w:val="-2"/>
                <w:lang w:val="lt-LT"/>
              </w:rPr>
              <w:t>2022 m. spalio 10 d. Europos Komisijos sprendimu Nr. C(2022) 7199 patvirtinta Lietuvos sienų valdymo ir vizų politikos paramos priemonės programa (</w:t>
            </w:r>
            <w:hyperlink r:id="rId7" w:history="1">
              <w:r w:rsidRPr="00404864">
                <w:rPr>
                  <w:spacing w:val="-2"/>
                  <w:u w:val="single"/>
                  <w:lang w:val="lt-LT"/>
                </w:rPr>
                <w:t>https://www.isf.lt/svvp-programa</w:t>
              </w:r>
            </w:hyperlink>
            <w:r w:rsidRPr="00404864">
              <w:rPr>
                <w:spacing w:val="-2"/>
                <w:lang w:val="lt-LT"/>
              </w:rPr>
              <w:t>)</w:t>
            </w:r>
          </w:p>
        </w:tc>
      </w:tr>
      <w:tr w:rsidR="00404864" w:rsidRPr="00404864" w14:paraId="2FBD1EDE" w14:textId="77777777" w:rsidTr="00404864">
        <w:tc>
          <w:tcPr>
            <w:tcW w:w="2972" w:type="dxa"/>
          </w:tcPr>
          <w:p w14:paraId="5C961413" w14:textId="77777777" w:rsidR="00404864" w:rsidRPr="00404864" w:rsidRDefault="00404864" w:rsidP="00404864">
            <w:pPr>
              <w:rPr>
                <w:b/>
                <w:bCs/>
                <w:lang w:val="lt-LT"/>
              </w:rPr>
            </w:pPr>
            <w:r w:rsidRPr="00404864">
              <w:rPr>
                <w:lang w:val="lt-LT"/>
              </w:rPr>
              <w:t>VSF programa</w:t>
            </w:r>
          </w:p>
        </w:tc>
        <w:tc>
          <w:tcPr>
            <w:tcW w:w="6521" w:type="dxa"/>
          </w:tcPr>
          <w:p w14:paraId="048CFC71" w14:textId="77777777" w:rsidR="00404864" w:rsidRPr="00404864" w:rsidRDefault="00404864" w:rsidP="00404864">
            <w:pPr>
              <w:jc w:val="both"/>
              <w:rPr>
                <w:lang w:val="lt-LT"/>
              </w:rPr>
            </w:pPr>
            <w:r w:rsidRPr="00404864">
              <w:rPr>
                <w:lang w:val="lt-LT"/>
              </w:rPr>
              <w:t>2022 m. lapkričio 7 d. Europos Komisijos sprendimu Nr. C(2022) 8049 patvirtinta Vidaus saugumo fondo 2021 – 2027 m. programa (</w:t>
            </w:r>
            <w:hyperlink r:id="rId8" w:history="1">
              <w:r w:rsidRPr="00404864">
                <w:rPr>
                  <w:u w:val="single"/>
                  <w:lang w:val="lt-LT"/>
                </w:rPr>
                <w:t>https://www.isf.lt/vidaus-saugumo-fondo-programa</w:t>
              </w:r>
            </w:hyperlink>
            <w:r w:rsidRPr="00404864">
              <w:rPr>
                <w:lang w:val="lt-LT"/>
              </w:rPr>
              <w:t>)</w:t>
            </w:r>
          </w:p>
        </w:tc>
      </w:tr>
      <w:tr w:rsidR="00404864" w:rsidRPr="00404864" w14:paraId="0D3021DD" w14:textId="77777777" w:rsidTr="00404864">
        <w:tc>
          <w:tcPr>
            <w:tcW w:w="2972" w:type="dxa"/>
          </w:tcPr>
          <w:p w14:paraId="0555FDBF" w14:textId="77777777" w:rsidR="00404864" w:rsidRPr="00404864" w:rsidRDefault="00404864" w:rsidP="00404864">
            <w:pPr>
              <w:rPr>
                <w:lang w:val="lt-LT"/>
              </w:rPr>
            </w:pPr>
            <w:r w:rsidRPr="00404864">
              <w:rPr>
                <w:rFonts w:eastAsia="Calibri"/>
                <w:bCs/>
                <w:lang w:val="lt-LT"/>
              </w:rPr>
              <w:t>Nacionaliniais teisės aktais</w:t>
            </w:r>
          </w:p>
        </w:tc>
        <w:tc>
          <w:tcPr>
            <w:tcW w:w="6521" w:type="dxa"/>
          </w:tcPr>
          <w:p w14:paraId="4EF44CB9" w14:textId="77777777" w:rsidR="00404864" w:rsidRPr="00404864" w:rsidRDefault="00404864" w:rsidP="00404864">
            <w:pPr>
              <w:jc w:val="both"/>
              <w:rPr>
                <w:lang w:val="lt-LT"/>
              </w:rPr>
            </w:pPr>
            <w:r w:rsidRPr="00404864">
              <w:rPr>
                <w:rFonts w:eastAsia="Calibri"/>
                <w:bCs/>
                <w:lang w:val="lt-LT"/>
              </w:rPr>
              <w:t xml:space="preserve">Nacionaliniai teisės aktai nurodyti SVVP ir VSF programų interneto svetainėje: </w:t>
            </w:r>
            <w:hyperlink r:id="rId9" w:history="1">
              <w:r w:rsidRPr="00404864">
                <w:rPr>
                  <w:rFonts w:eastAsia="Calibri"/>
                  <w:bCs/>
                  <w:u w:val="single"/>
                  <w:lang w:val="lt-LT"/>
                </w:rPr>
                <w:t>https://www.isf.lt/lr-teises-aktai</w:t>
              </w:r>
            </w:hyperlink>
            <w:r w:rsidRPr="00404864">
              <w:rPr>
                <w:rFonts w:eastAsia="Calibri"/>
                <w:bCs/>
                <w:lang w:val="lt-LT"/>
              </w:rPr>
              <w:t xml:space="preserve"> </w:t>
            </w:r>
          </w:p>
        </w:tc>
      </w:tr>
    </w:tbl>
    <w:p w14:paraId="0A8FC7CC" w14:textId="77777777" w:rsidR="00404864" w:rsidRPr="00404864" w:rsidRDefault="00404864" w:rsidP="00404864">
      <w:pPr>
        <w:ind w:firstLine="360"/>
        <w:rPr>
          <w:lang w:val="lt-LT"/>
        </w:rPr>
      </w:pPr>
    </w:p>
    <w:p w14:paraId="48F08C8A" w14:textId="77777777" w:rsidR="00404864" w:rsidRPr="00404864" w:rsidRDefault="00404864" w:rsidP="00404864">
      <w:pPr>
        <w:ind w:firstLine="567"/>
        <w:jc w:val="both"/>
        <w:rPr>
          <w:spacing w:val="3"/>
          <w:lang w:val="lt-LT"/>
        </w:rPr>
      </w:pPr>
      <w:r w:rsidRPr="00404864">
        <w:rPr>
          <w:lang w:val="lt-LT"/>
        </w:rPr>
        <w:t xml:space="preserve">numato įsigyti </w:t>
      </w:r>
      <w:r w:rsidRPr="00404864">
        <w:rPr>
          <w:lang w:val="lt-LT" w:eastAsia="lt-LT"/>
        </w:rPr>
        <w:t xml:space="preserve">Sienų valdymo ir vizų politikos finansinės paramos priemonės, įtrauktos į Integruoto sienų valdymo fondą, 2021–2027 m. programos ir </w:t>
      </w:r>
      <w:r w:rsidRPr="00404864">
        <w:rPr>
          <w:spacing w:val="3"/>
          <w:lang w:val="lt-LT"/>
        </w:rPr>
        <w:t xml:space="preserve">Vidaus saugumo fondo 2021–2027 m. programos (toliau bendrai – Programos) veiksmų audito, už kurio atlikimą pagal </w:t>
      </w:r>
      <w:r w:rsidRPr="00404864">
        <w:rPr>
          <w:lang w:val="lt-LT"/>
        </w:rPr>
        <w:t xml:space="preserve">Reglamento 2021/1060 77 ir 79 str. reikalavimus </w:t>
      </w:r>
      <w:r w:rsidRPr="00404864">
        <w:rPr>
          <w:spacing w:val="3"/>
          <w:lang w:val="lt-LT"/>
        </w:rPr>
        <w:t>yra atsakinga programų audito institucija, paslaugas. Pažymėtina, kad abiejų programų administravimui yra sukurta bendra valdymo ir kontrolės sistema.</w:t>
      </w:r>
    </w:p>
    <w:p w14:paraId="4F4C6326" w14:textId="77777777" w:rsidR="00404864" w:rsidRPr="00404864" w:rsidRDefault="00404864" w:rsidP="00404864">
      <w:pPr>
        <w:ind w:firstLine="567"/>
        <w:jc w:val="both"/>
        <w:rPr>
          <w:spacing w:val="3"/>
          <w:lang w:val="lt-LT"/>
        </w:rPr>
      </w:pPr>
      <w:r w:rsidRPr="00404864">
        <w:rPr>
          <w:spacing w:val="3"/>
          <w:lang w:val="lt-LT"/>
        </w:rPr>
        <w:t xml:space="preserve">Pagal Programų valdymo modelį programų veiksmus sudaro projektai, kurie apmokėjimą už savo veiklas gauna teikdami mokėjimo prašymus, kuriuose deklaruoja patirtas išlaidas. Pagal </w:t>
      </w:r>
      <w:r w:rsidRPr="00404864">
        <w:rPr>
          <w:lang w:val="lt-LT"/>
        </w:rPr>
        <w:t xml:space="preserve">Reglamento 2021/1060 79 str. reikalavimus atliekant veiksmų auditą tikrinamos ataskaitiniais metais Europos Komisijai deklaruotos išlaidos remiantis imtimi. Programų audito institucija atrankos visumą, iš kurios atsirinks projektus audituoti, sudarys iš projektų mokėjimų prašymų, todėl paslaugos vadinamos </w:t>
      </w:r>
      <w:r w:rsidRPr="00404864">
        <w:rPr>
          <w:b/>
          <w:lang w:val="lt-LT"/>
        </w:rPr>
        <w:t xml:space="preserve">Programų </w:t>
      </w:r>
      <w:r w:rsidRPr="00404864">
        <w:rPr>
          <w:b/>
          <w:spacing w:val="3"/>
          <w:lang w:val="lt-LT"/>
        </w:rPr>
        <w:t>atrinktų projektų audito paslaugos</w:t>
      </w:r>
      <w:r w:rsidRPr="00404864">
        <w:rPr>
          <w:spacing w:val="3"/>
          <w:lang w:val="lt-LT"/>
        </w:rPr>
        <w:t xml:space="preserve"> (toliau – paslaugos).</w:t>
      </w:r>
    </w:p>
    <w:p w14:paraId="40847A8D" w14:textId="77777777" w:rsidR="00404864" w:rsidRPr="00404864" w:rsidRDefault="00404864" w:rsidP="00404864">
      <w:pPr>
        <w:ind w:firstLine="567"/>
        <w:jc w:val="both"/>
        <w:rPr>
          <w:b/>
          <w:lang w:val="lt-LT"/>
        </w:rPr>
      </w:pPr>
      <w:r w:rsidRPr="00404864">
        <w:rPr>
          <w:b/>
          <w:lang w:val="lt-LT"/>
        </w:rPr>
        <w:t>1.2. Už Programų valdymo ir kontrolės sistemą atsakingos institucijos:</w:t>
      </w:r>
    </w:p>
    <w:p w14:paraId="355E5395" w14:textId="77777777" w:rsidR="00404864" w:rsidRPr="00404864" w:rsidRDefault="00404864" w:rsidP="00404864">
      <w:pPr>
        <w:ind w:firstLine="567"/>
        <w:jc w:val="both"/>
        <w:rPr>
          <w:lang w:val="lt-LT"/>
        </w:rPr>
      </w:pPr>
      <w:r w:rsidRPr="00404864">
        <w:rPr>
          <w:lang w:val="lt-LT"/>
        </w:rPr>
        <w:t xml:space="preserve">1.2.1. Programų </w:t>
      </w:r>
      <w:r w:rsidRPr="00404864">
        <w:rPr>
          <w:b/>
          <w:lang w:val="lt-LT"/>
        </w:rPr>
        <w:t xml:space="preserve">Vadovaujančiosios institucijos </w:t>
      </w:r>
      <w:r w:rsidRPr="00404864">
        <w:rPr>
          <w:lang w:val="lt-LT"/>
        </w:rPr>
        <w:t>(VI) funkcijas atlieka Lietuvos Respublikos vidaus reikalų ministerijos Europos Sąjungos investicijų ir tarptautinių programų departamentas. Ji atsakinga už Programų įgyvendinimą ir administravimą pagal reglamentuose, nacionaliniuose teisės aktuose ir dokumentuose nustatytas taisykles ir procedūras.</w:t>
      </w:r>
    </w:p>
    <w:p w14:paraId="7EB9453B" w14:textId="77777777" w:rsidR="00404864" w:rsidRPr="00404864" w:rsidRDefault="00404864" w:rsidP="00404864">
      <w:pPr>
        <w:ind w:firstLine="567"/>
        <w:jc w:val="both"/>
        <w:rPr>
          <w:lang w:val="lt-LT"/>
        </w:rPr>
      </w:pPr>
      <w:r w:rsidRPr="00404864">
        <w:rPr>
          <w:lang w:val="lt-LT"/>
        </w:rPr>
        <w:lastRenderedPageBreak/>
        <w:t xml:space="preserve">1.2.2. Programų </w:t>
      </w:r>
      <w:r w:rsidRPr="00404864">
        <w:rPr>
          <w:b/>
          <w:lang w:val="lt-LT"/>
        </w:rPr>
        <w:t>Tarpinės institucijos</w:t>
      </w:r>
      <w:r w:rsidRPr="00404864">
        <w:rPr>
          <w:lang w:val="lt-LT"/>
        </w:rPr>
        <w:t xml:space="preserve"> (TI) funkcijas, kurias jai skiria vadovaujančioji institucija, atlieka viešoji įstaiga Centrinė projektų valdymo agentūra.</w:t>
      </w:r>
    </w:p>
    <w:p w14:paraId="24A1DAED" w14:textId="77777777" w:rsidR="00404864" w:rsidRPr="00404864" w:rsidRDefault="00404864" w:rsidP="00404864">
      <w:pPr>
        <w:ind w:firstLine="567"/>
        <w:jc w:val="both"/>
        <w:rPr>
          <w:lang w:val="lt-LT"/>
        </w:rPr>
      </w:pPr>
      <w:r w:rsidRPr="00404864">
        <w:rPr>
          <w:lang w:val="lt-LT"/>
        </w:rPr>
        <w:t xml:space="preserve">1.2.3. Programų </w:t>
      </w:r>
      <w:r w:rsidRPr="00404864">
        <w:rPr>
          <w:b/>
          <w:lang w:val="lt-LT"/>
        </w:rPr>
        <w:t>stebėsenos komitetas</w:t>
      </w:r>
      <w:r w:rsidRPr="00404864">
        <w:rPr>
          <w:lang w:val="lt-LT"/>
        </w:rPr>
        <w:t xml:space="preserve"> – iš kompetentingų institucijų ir (ar) organizacijų atstovų Lietuvos Respublikos vidaus reikalų ministro įsakymu sudaromas komitetas, atliekantis Programų įgyvendinimo priežiūros funkcijas.</w:t>
      </w:r>
    </w:p>
    <w:p w14:paraId="70587E8D" w14:textId="77777777" w:rsidR="00404864" w:rsidRPr="00404864" w:rsidRDefault="00404864" w:rsidP="00404864">
      <w:pPr>
        <w:ind w:firstLine="567"/>
        <w:jc w:val="both"/>
        <w:rPr>
          <w:lang w:val="lt-LT"/>
        </w:rPr>
      </w:pPr>
      <w:r w:rsidRPr="00404864">
        <w:rPr>
          <w:lang w:val="lt-LT"/>
        </w:rPr>
        <w:t>1.2.4. Programų</w:t>
      </w:r>
      <w:r w:rsidRPr="00404864">
        <w:rPr>
          <w:b/>
          <w:lang w:val="lt-LT"/>
        </w:rPr>
        <w:t xml:space="preserve"> audito institucija</w:t>
      </w:r>
      <w:r w:rsidRPr="00404864">
        <w:rPr>
          <w:lang w:val="lt-LT"/>
        </w:rPr>
        <w:t xml:space="preserve"> (AI) yra Lietuvos Respublikos vidaus reikalų ministerijos Centralizuoto vidaus audito skyrius, kuris yra atsakingas, kad būtų atliekami Programų sistemų, veiksmų ir sąskaitų auditai. Audito institucija užtikrina, kad jeigu auditą atlieka ne audito institucija, o kita įstaiga, ta įstaiga funkciškai būtų pakankamai nepriklausoma ir kad atliekant auditą būtų laikomasi tarptautiniu mastu pripažintų audito standartų.</w:t>
      </w:r>
    </w:p>
    <w:p w14:paraId="0DFBD9DE" w14:textId="77777777" w:rsidR="00404864" w:rsidRPr="00404864" w:rsidRDefault="00404864" w:rsidP="00404864">
      <w:pPr>
        <w:ind w:firstLine="567"/>
        <w:jc w:val="both"/>
        <w:rPr>
          <w:b/>
          <w:lang w:val="lt-LT"/>
        </w:rPr>
      </w:pPr>
      <w:r w:rsidRPr="00404864">
        <w:rPr>
          <w:b/>
          <w:lang w:val="lt-LT"/>
        </w:rPr>
        <w:t>1.3. Paslaugų apimtis ir reikalavimai pirkimo objektui</w:t>
      </w:r>
    </w:p>
    <w:p w14:paraId="11E1C9D5" w14:textId="77777777" w:rsidR="00404864" w:rsidRPr="00404864" w:rsidRDefault="00404864" w:rsidP="00404864">
      <w:pPr>
        <w:ind w:firstLine="567"/>
        <w:jc w:val="both"/>
        <w:rPr>
          <w:lang w:val="lt-LT"/>
        </w:rPr>
      </w:pPr>
      <w:r w:rsidRPr="00404864">
        <w:rPr>
          <w:lang w:val="lt-LT"/>
        </w:rPr>
        <w:t xml:space="preserve">1.3.1. Numatoma įsigyti paslaugas </w:t>
      </w:r>
      <w:r w:rsidRPr="00404864">
        <w:rPr>
          <w:b/>
          <w:lang w:val="lt-LT"/>
        </w:rPr>
        <w:t>36 mėnesiams</w:t>
      </w:r>
      <w:r w:rsidRPr="00404864">
        <w:rPr>
          <w:lang w:val="lt-LT"/>
        </w:rPr>
        <w:t>.</w:t>
      </w:r>
    </w:p>
    <w:p w14:paraId="1E089BFD" w14:textId="77777777" w:rsidR="00404864" w:rsidRPr="00404864" w:rsidRDefault="00404864" w:rsidP="00404864">
      <w:pPr>
        <w:ind w:firstLine="567"/>
        <w:jc w:val="both"/>
        <w:rPr>
          <w:lang w:val="lt-LT"/>
        </w:rPr>
      </w:pPr>
      <w:r w:rsidRPr="00404864">
        <w:rPr>
          <w:lang w:val="lt-LT"/>
        </w:rPr>
        <w:t>1.3.2. Sutarties vykdymo metu paslaugų teikėjas, turės patikrinti projektus, audito institucijos atrinktus ir įtrauktus į perkančiosios organizacijos Paslaugų teikėjui teikiamą atrinktų audituoti projektų sąrašą.</w:t>
      </w:r>
    </w:p>
    <w:p w14:paraId="4B5507CF" w14:textId="77777777" w:rsidR="00404864" w:rsidRPr="00404864" w:rsidRDefault="00404864" w:rsidP="00404864">
      <w:pPr>
        <w:ind w:firstLine="567"/>
        <w:jc w:val="both"/>
        <w:rPr>
          <w:lang w:val="lt-LT"/>
        </w:rPr>
      </w:pPr>
      <w:r w:rsidRPr="00404864">
        <w:rPr>
          <w:lang w:val="lt-LT"/>
        </w:rPr>
        <w:t xml:space="preserve">1.3.3. Paslaugos turi būti pradėtos vykdyti ne vėliau nei per 2 (dvi) savaites nuo tos dienos, kai perkančioji organizacija paslaugų teikėjui pateikia atrinktų audituoti projektų sąrašą kartu su perkančiosios organizacijos nustatytų formų dokumentais: audito ataskaitos, tikrinimo klausimyno, bei pranešimo apie įtariamą arba nustatytą sukčiavimą. </w:t>
      </w:r>
    </w:p>
    <w:p w14:paraId="1819744E" w14:textId="77777777" w:rsidR="00404864" w:rsidRPr="00404864" w:rsidRDefault="00404864" w:rsidP="00404864">
      <w:pPr>
        <w:ind w:firstLine="567"/>
        <w:jc w:val="both"/>
        <w:rPr>
          <w:lang w:val="lt-LT"/>
        </w:rPr>
      </w:pPr>
      <w:r w:rsidRPr="00404864">
        <w:rPr>
          <w:lang w:val="lt-LT"/>
        </w:rPr>
        <w:t>1.3.4. Perkančioji organizacija paslaugų teikėjui pateikia atrinktų projektų sąrašą du kartus per metus: iki kovo 31 d. ir iki rugsėjo 30 d.</w:t>
      </w:r>
    </w:p>
    <w:p w14:paraId="238FA197" w14:textId="77777777" w:rsidR="00404864" w:rsidRPr="00404864" w:rsidRDefault="00404864" w:rsidP="00404864">
      <w:pPr>
        <w:ind w:firstLine="567"/>
        <w:jc w:val="both"/>
        <w:rPr>
          <w:lang w:val="lt-LT"/>
        </w:rPr>
      </w:pPr>
      <w:r w:rsidRPr="00404864">
        <w:rPr>
          <w:lang w:val="lt-LT"/>
        </w:rPr>
        <w:t xml:space="preserve">1.3.5. </w:t>
      </w:r>
      <w:r w:rsidRPr="00404864">
        <w:rPr>
          <w:b/>
          <w:lang w:val="lt-LT"/>
        </w:rPr>
        <w:t>Audito rezultatai</w:t>
      </w:r>
      <w:r w:rsidRPr="00404864">
        <w:rPr>
          <w:lang w:val="lt-LT"/>
        </w:rPr>
        <w:t xml:space="preserve"> pateikiami perkančiosios organizacijos nustatytos formos dokumentuose. Audito ataskaita ir tikrinimo klausimynas turi būti parengiami kiekvienam audituotam projektui atskirai.</w:t>
      </w:r>
    </w:p>
    <w:p w14:paraId="5836DBBF" w14:textId="77777777" w:rsidR="00404864" w:rsidRPr="00404864" w:rsidRDefault="00404864" w:rsidP="00404864">
      <w:pPr>
        <w:ind w:firstLine="567"/>
        <w:jc w:val="both"/>
        <w:rPr>
          <w:lang w:val="lt-LT"/>
        </w:rPr>
      </w:pPr>
      <w:r w:rsidRPr="00404864">
        <w:rPr>
          <w:lang w:val="lt-LT"/>
        </w:rPr>
        <w:t xml:space="preserve">1.3.6. </w:t>
      </w:r>
      <w:r w:rsidRPr="00404864">
        <w:rPr>
          <w:b/>
          <w:lang w:val="lt-LT"/>
        </w:rPr>
        <w:t>Audito tikslas</w:t>
      </w:r>
      <w:r w:rsidRPr="00404864">
        <w:rPr>
          <w:lang w:val="lt-LT"/>
        </w:rPr>
        <w:t xml:space="preserve"> – nustatyti, ar projekto vykdytojo mokėjimo prašyme deklaruotos projekto išlaidos patirtos nepažeidžiant Europos Sąjungos ir Lietuvos Respublikos teisės aktų, reglamentuojančių Programų administravimą ir paramos teikimą nuostatų, projektų sutarčių sąlygų ir yra tinkamos finansuoti bei pagrįstos. Tikrinama 100 procentų mokėjimo prašyme deklaruotų išlaidų ir, jei reikalinga, atliekama projekto patikra vietoje.</w:t>
      </w:r>
    </w:p>
    <w:p w14:paraId="4B990993" w14:textId="77777777" w:rsidR="00404864" w:rsidRPr="00404864" w:rsidRDefault="00404864" w:rsidP="00404864">
      <w:pPr>
        <w:ind w:firstLine="567"/>
        <w:jc w:val="both"/>
        <w:rPr>
          <w:lang w:val="lt-LT"/>
        </w:rPr>
      </w:pPr>
      <w:r w:rsidRPr="00404864">
        <w:rPr>
          <w:lang w:val="lt-LT"/>
        </w:rPr>
        <w:t xml:space="preserve">1.3.7. </w:t>
      </w:r>
      <w:r w:rsidRPr="00404864">
        <w:rPr>
          <w:b/>
          <w:lang w:val="lt-LT"/>
        </w:rPr>
        <w:t>Audito metu įsitikinama, ar</w:t>
      </w:r>
      <w:r w:rsidRPr="00404864">
        <w:rPr>
          <w:lang w:val="lt-LT"/>
        </w:rPr>
        <w:t>:</w:t>
      </w:r>
    </w:p>
    <w:p w14:paraId="4911286A" w14:textId="77777777" w:rsidR="00404864" w:rsidRPr="00404864" w:rsidRDefault="00404864" w:rsidP="00404864">
      <w:pPr>
        <w:ind w:firstLine="567"/>
        <w:jc w:val="both"/>
        <w:rPr>
          <w:lang w:val="lt-LT"/>
        </w:rPr>
      </w:pPr>
      <w:r w:rsidRPr="00404864">
        <w:rPr>
          <w:lang w:val="lt-LT"/>
        </w:rPr>
        <w:t>1.3.7.1. pasiekti projekto įgyvendinimo tikslai ir rezultatai;</w:t>
      </w:r>
    </w:p>
    <w:p w14:paraId="32484672" w14:textId="77777777" w:rsidR="00404864" w:rsidRPr="00404864" w:rsidRDefault="00404864" w:rsidP="00404864">
      <w:pPr>
        <w:ind w:firstLine="567"/>
        <w:jc w:val="both"/>
        <w:rPr>
          <w:lang w:val="lt-LT"/>
        </w:rPr>
      </w:pPr>
      <w:r w:rsidRPr="00404864">
        <w:rPr>
          <w:lang w:val="lt-LT"/>
        </w:rPr>
        <w:t>1.3.7.2. projekto deklaruojamos išlaidos yra teisėtos ir tvarkingos;</w:t>
      </w:r>
    </w:p>
    <w:p w14:paraId="19C35863" w14:textId="77777777" w:rsidR="00404864" w:rsidRPr="00404864" w:rsidRDefault="00404864" w:rsidP="00404864">
      <w:pPr>
        <w:ind w:firstLine="567"/>
        <w:jc w:val="both"/>
        <w:rPr>
          <w:lang w:val="lt-LT"/>
        </w:rPr>
      </w:pPr>
      <w:r w:rsidRPr="00404864">
        <w:rPr>
          <w:lang w:val="lt-LT"/>
        </w:rPr>
        <w:t>1.3.7.3. projekto apskaita tvarkoma atskirai nuo bendros projekto vykdytojo apskaitos;</w:t>
      </w:r>
    </w:p>
    <w:p w14:paraId="762280B0" w14:textId="77777777" w:rsidR="00404864" w:rsidRPr="00404864" w:rsidRDefault="00404864" w:rsidP="00404864">
      <w:pPr>
        <w:ind w:firstLine="567"/>
        <w:jc w:val="both"/>
        <w:rPr>
          <w:lang w:val="lt-LT"/>
        </w:rPr>
      </w:pPr>
      <w:r w:rsidRPr="00404864">
        <w:rPr>
          <w:lang w:val="lt-LT"/>
        </w:rPr>
        <w:t>1.3.7.4. projekto vykdytojo apskaitoje užregistruotos visos ūkinės operacijos bei ūkiniai įvykiai, susiję su projekto įgyvendinimu, taip pat ar įrašai apskaitos sistemose atitinka įrašus apskaitos dokumentuose;</w:t>
      </w:r>
    </w:p>
    <w:p w14:paraId="24AFDF05" w14:textId="77777777" w:rsidR="00404864" w:rsidRPr="00404864" w:rsidRDefault="00404864" w:rsidP="00404864">
      <w:pPr>
        <w:ind w:firstLine="567"/>
        <w:jc w:val="both"/>
        <w:rPr>
          <w:lang w:val="lt-LT"/>
        </w:rPr>
      </w:pPr>
      <w:r w:rsidRPr="00404864">
        <w:rPr>
          <w:lang w:val="lt-LT"/>
        </w:rPr>
        <w:t>1.3.7.5. užtikrinama tinkama audito seka;</w:t>
      </w:r>
    </w:p>
    <w:p w14:paraId="0A0B78B2" w14:textId="77777777" w:rsidR="00404864" w:rsidRPr="00404864" w:rsidRDefault="00404864" w:rsidP="00404864">
      <w:pPr>
        <w:ind w:firstLine="567"/>
        <w:jc w:val="both"/>
        <w:rPr>
          <w:lang w:val="lt-LT"/>
        </w:rPr>
      </w:pPr>
      <w:r w:rsidRPr="00404864">
        <w:rPr>
          <w:lang w:val="lt-LT"/>
        </w:rPr>
        <w:t>1.3.7.6. projekto vykdytojo nurodyti darbai yra atlikti, prekės pateiktos, paslaugos suteiktos ir atitinka pirkimo dokumentus bei projekto finansavimo sąlygas, nustatytas projekto sutartyje (atliktų darbų ir prekių įsigijimo atveju atliekama projekto patikra vietoje);</w:t>
      </w:r>
    </w:p>
    <w:p w14:paraId="7521E8C7" w14:textId="5A9CA450" w:rsidR="00404864" w:rsidRPr="00404864" w:rsidRDefault="00404864" w:rsidP="00404864">
      <w:pPr>
        <w:ind w:firstLine="567"/>
        <w:jc w:val="both"/>
        <w:rPr>
          <w:lang w:val="lt-LT"/>
        </w:rPr>
      </w:pPr>
      <w:r w:rsidRPr="00404864">
        <w:rPr>
          <w:lang w:val="lt-LT"/>
        </w:rPr>
        <w:t>1.3.7.7. darbų, paslaugų ir prekių pirkimai atliekami vadovaujantis viešuosius pirkimus reglamentuojančių teisės aktų nuostatomis;</w:t>
      </w:r>
    </w:p>
    <w:p w14:paraId="30EC0943" w14:textId="77777777" w:rsidR="00404864" w:rsidRPr="00404864" w:rsidRDefault="00404864" w:rsidP="00404864">
      <w:pPr>
        <w:ind w:firstLine="567"/>
        <w:jc w:val="both"/>
        <w:rPr>
          <w:lang w:val="lt-LT"/>
        </w:rPr>
      </w:pPr>
      <w:r w:rsidRPr="00404864">
        <w:rPr>
          <w:lang w:val="lt-LT"/>
        </w:rPr>
        <w:t>1.3.7.8. projektas tinkamai viešinamas;</w:t>
      </w:r>
    </w:p>
    <w:p w14:paraId="6A2C29A0" w14:textId="77777777" w:rsidR="00404864" w:rsidRPr="00404864" w:rsidRDefault="00404864" w:rsidP="00404864">
      <w:pPr>
        <w:ind w:firstLine="567"/>
        <w:jc w:val="both"/>
        <w:rPr>
          <w:lang w:val="lt-LT"/>
        </w:rPr>
      </w:pPr>
      <w:r w:rsidRPr="00404864">
        <w:rPr>
          <w:lang w:val="lt-LT"/>
        </w:rPr>
        <w:t>1.3.7.9. įgyvendinat projektą nepastebėta sukčiavimo požymių.</w:t>
      </w:r>
    </w:p>
    <w:p w14:paraId="3B45DA9C" w14:textId="77777777" w:rsidR="00404864" w:rsidRPr="00404864" w:rsidRDefault="00404864" w:rsidP="00404864">
      <w:pPr>
        <w:ind w:firstLine="567"/>
        <w:jc w:val="both"/>
        <w:rPr>
          <w:lang w:val="lt-LT"/>
        </w:rPr>
      </w:pPr>
      <w:r w:rsidRPr="00404864">
        <w:rPr>
          <w:lang w:val="lt-LT"/>
        </w:rPr>
        <w:t>1.3.8. Paslaugų teikėjas audito metu nustatęs pažeidimų ar neatitikimų, panaudojant projekto įgyvendinimui skirtas Programų lėšas, kurių audito atlikimo metu projekto vykdytojas nepašalino, turi juos nurodyti perkančiosios organizacijos nustatytos formos audito ataskaitoje. Kiekvienas pažeidimo ar neatitikimo atvejis turi būti identifikuotas nurodant pažeistas teisės aktų ar dokumentų nuostatas, pažeidimo finansinę įtaką, t. y. netinkamų išlaidų sumą, projekto biudžeto eilutę, taip pat nurodoma, ar nustatytos problemos yra sisteminio pobūdžio, todėl kelia riziką kitiems pagal Programas vykdomiems projektams.</w:t>
      </w:r>
    </w:p>
    <w:p w14:paraId="01E05357" w14:textId="77777777" w:rsidR="00404864" w:rsidRPr="00404864" w:rsidRDefault="00404864" w:rsidP="00404864">
      <w:pPr>
        <w:ind w:firstLine="567"/>
        <w:jc w:val="both"/>
        <w:rPr>
          <w:lang w:val="lt-LT"/>
        </w:rPr>
      </w:pPr>
      <w:r w:rsidRPr="00404864">
        <w:rPr>
          <w:lang w:val="lt-LT"/>
        </w:rPr>
        <w:lastRenderedPageBreak/>
        <w:t>1.3.9. Perkančiajai organizacijai pareikalavus, paslaugų teikėjas teikia informaciją ir paaiškinimus apie aplinkybes, kurioms esant buvo prieita prie išvados dėl projekto veiklų ir lėšų panaudojimo, sudaro sąlygas perkančiosios organizacijos atstovams gauti paslaugų teikėjo tikrinamų dokumentų kopijas, paslaugų teikėjo darbo dokumentus. Paslaugų teikėjas saugo visus su sutarties vykdymu susijusius dokumentus ne trumpiau nei 5 (penkis) metus po sutarties vykdymo užbaigimo.</w:t>
      </w:r>
    </w:p>
    <w:p w14:paraId="15E9DAB8" w14:textId="77777777" w:rsidR="00404864" w:rsidRPr="00404864" w:rsidRDefault="00404864" w:rsidP="00404864">
      <w:pPr>
        <w:ind w:firstLine="567"/>
        <w:jc w:val="both"/>
        <w:rPr>
          <w:lang w:val="lt-LT"/>
        </w:rPr>
      </w:pPr>
      <w:r w:rsidRPr="00404864">
        <w:rPr>
          <w:lang w:val="lt-LT"/>
        </w:rPr>
        <w:t>1.3.10. Vykdydamas sutartį, nustatęs galimo sukčiavimo atvejį, paslaugų teikėjas turi nedelsdamas, bet ne vėliau kaip per 3 darbo dienas pranešti apie tai perkančiajai organizacijai pateikdamas perkančiosios organizacijos nustatytos formos dokumentą – pranešimą apie įtariamą arba nustatytą sukčiavimą.</w:t>
      </w:r>
    </w:p>
    <w:p w14:paraId="47787B78" w14:textId="77777777" w:rsidR="00404864" w:rsidRPr="00404864" w:rsidRDefault="00404864" w:rsidP="00404864">
      <w:pPr>
        <w:ind w:firstLine="567"/>
        <w:jc w:val="both"/>
        <w:rPr>
          <w:lang w:val="lt-LT"/>
        </w:rPr>
      </w:pPr>
      <w:r w:rsidRPr="00404864">
        <w:rPr>
          <w:lang w:val="lt-LT"/>
        </w:rPr>
        <w:t xml:space="preserve">1.3.11. Paslaugų teikėjas projektų auditus turi atlikti vadovaudamasis </w:t>
      </w:r>
      <w:r w:rsidRPr="00404864">
        <w:rPr>
          <w:b/>
          <w:lang w:val="lt-LT"/>
        </w:rPr>
        <w:t>tarptautiniu mastu pripažintais audito standartais</w:t>
      </w:r>
      <w:r w:rsidRPr="00404864">
        <w:rPr>
          <w:lang w:val="lt-LT"/>
        </w:rPr>
        <w:t>, Europos Sąjungos reglamentais, Programų dokumentais, nacionaliniais teisės aktais.</w:t>
      </w:r>
    </w:p>
    <w:p w14:paraId="74258508" w14:textId="77777777" w:rsidR="00404864" w:rsidRPr="00404864" w:rsidRDefault="00404864" w:rsidP="00404864">
      <w:pPr>
        <w:ind w:firstLine="567"/>
        <w:jc w:val="both"/>
        <w:rPr>
          <w:lang w:val="lt-LT"/>
        </w:rPr>
      </w:pPr>
      <w:r w:rsidRPr="00404864">
        <w:rPr>
          <w:lang w:val="lt-LT"/>
        </w:rPr>
        <w:t>1.3.12. Paslaugų teikėjas turi būti nepriklausomas nuo tikrinamo paramos gavėjo laikantis Tarptautinės buhalterių federacijos Buhalterių profesionalų etikos kodekse išdėstytų nepriklausomumo reikalavimų. Jeigu sutarties vykdymo metu iškiltų interesų konfliktas, paslaugų teikėjas nedelsdamas apie tai informuoja perkančiąją organizaciją ir pasiūlo sprendimą dėl interesų konflikto ištaisymo. Galutinis sprendimas priimamas perkančiajai organizacijai išnagrinėjus pasiūlytą sprendimą.</w:t>
      </w:r>
    </w:p>
    <w:p w14:paraId="5E6D66F6" w14:textId="77777777" w:rsidR="00404864" w:rsidRPr="00404864" w:rsidRDefault="00404864" w:rsidP="00404864">
      <w:pPr>
        <w:ind w:firstLine="567"/>
        <w:jc w:val="both"/>
        <w:rPr>
          <w:b/>
          <w:lang w:val="lt-LT"/>
        </w:rPr>
      </w:pPr>
      <w:r w:rsidRPr="00404864">
        <w:rPr>
          <w:b/>
          <w:lang w:val="lt-LT"/>
        </w:rPr>
        <w:t>1.4. Paslaugų teikimo organizavimas</w:t>
      </w:r>
    </w:p>
    <w:p w14:paraId="2613CA4E" w14:textId="77777777" w:rsidR="00404864" w:rsidRPr="00404864" w:rsidRDefault="00404864" w:rsidP="00404864">
      <w:pPr>
        <w:ind w:firstLine="567"/>
        <w:jc w:val="both"/>
        <w:rPr>
          <w:lang w:val="lt-LT"/>
        </w:rPr>
      </w:pPr>
      <w:r w:rsidRPr="00404864">
        <w:rPr>
          <w:lang w:val="lt-LT"/>
        </w:rPr>
        <w:t>1.4.1. Paslaugų teikėjas atrinktų projektų auditą atlieka pagal su perkančiąja organizacija suderintą grafiką ir aptartą auditų atlikimo metodiką (grafikas suderinamas su paslaugos teikėju ne vėliau kaip per 2 savaites nuo atrinktų audituoti projektų sąrašo ir perkančiosios organizacijos nustatytų audito rezultatų įforminimo dokumentų formų bei kitų su projekto tikrinimu susijusių dokumentų pateikimo paslaugų teikėjui dienos) ir perkančiajai organizacijai pateikia projektų audito ataskaitas, užpildytus klausimynus ir kitus dokumentus elektronine forma kai tik baigiamos visos audito procedūros, bet ne vėliau kaip per 14 (keturiolika) kalendorinių dienų nuo kiekvienos audito ataskaitos ar kito dokumento pasirašymo dienos.</w:t>
      </w:r>
    </w:p>
    <w:p w14:paraId="6044CB21" w14:textId="77777777" w:rsidR="00404864" w:rsidRPr="00404864" w:rsidRDefault="00404864" w:rsidP="00404864">
      <w:pPr>
        <w:ind w:firstLine="567"/>
        <w:jc w:val="both"/>
        <w:rPr>
          <w:strike/>
          <w:lang w:val="lt-LT"/>
        </w:rPr>
      </w:pPr>
      <w:r w:rsidRPr="00404864">
        <w:rPr>
          <w:lang w:val="lt-LT"/>
        </w:rPr>
        <w:t>1.4.2. Sutarties vykdymo laikotarpiu audito ataskaitos, tikrinimo klausimyno bei pranešimo apie įtariamą arba nustatytą pažeidimą dokumentų formos gali būti tobulinamos pagal iškilusį poreikį ir Europos Komisijos keliamus reikalavimus audito darbui.</w:t>
      </w:r>
    </w:p>
    <w:p w14:paraId="4A31A50D" w14:textId="77777777" w:rsidR="00404864" w:rsidRPr="00404864" w:rsidRDefault="00404864" w:rsidP="00404864">
      <w:pPr>
        <w:ind w:firstLine="567"/>
        <w:jc w:val="both"/>
        <w:rPr>
          <w:lang w:val="lt-LT"/>
        </w:rPr>
      </w:pPr>
      <w:r w:rsidRPr="00404864">
        <w:rPr>
          <w:lang w:val="lt-LT"/>
        </w:rPr>
        <w:t>1.4.3. Jeigu perkančioji organizacija nustato sutartinių prievolių vykdymo trūkumų, ji turi teisę reikalauti iš paslaugos teikėjo savo sąskaita ištaisyti nustatytus trūkumus.</w:t>
      </w:r>
    </w:p>
    <w:p w14:paraId="6D95CB6C" w14:textId="4658717F" w:rsidR="00404864" w:rsidRPr="00404864" w:rsidRDefault="00404864" w:rsidP="00404864">
      <w:pPr>
        <w:ind w:firstLine="567"/>
        <w:jc w:val="both"/>
        <w:rPr>
          <w:lang w:val="lt-LT"/>
        </w:rPr>
      </w:pPr>
      <w:r w:rsidRPr="00404864">
        <w:rPr>
          <w:lang w:val="lt-LT"/>
        </w:rPr>
        <w:t>1.4.4. Sutarties vykdymo laikotarpiu paslaugų teikėjo pateiktų auditų rezultatų duomenis perkančioji organizacija naudoja savo nuožiūra, esant poreikiui skleidžia ir platin</w:t>
      </w:r>
      <w:r w:rsidR="008C35F5">
        <w:rPr>
          <w:lang w:val="lt-LT"/>
        </w:rPr>
        <w:t>a</w:t>
      </w:r>
      <w:r w:rsidRPr="00404864">
        <w:rPr>
          <w:lang w:val="lt-LT"/>
        </w:rPr>
        <w:t xml:space="preserve"> informaciją apie atliktų auditų rezultatus.</w:t>
      </w:r>
    </w:p>
    <w:p w14:paraId="26A9D710" w14:textId="77777777" w:rsidR="00404864" w:rsidRPr="00404864" w:rsidRDefault="00404864" w:rsidP="00404864">
      <w:pPr>
        <w:ind w:firstLine="567"/>
        <w:jc w:val="both"/>
        <w:rPr>
          <w:b/>
          <w:lang w:val="lt-LT"/>
        </w:rPr>
      </w:pPr>
      <w:r w:rsidRPr="00404864">
        <w:rPr>
          <w:b/>
          <w:lang w:val="lt-LT"/>
        </w:rPr>
        <w:t>1.5. Paslaugų vykdymo vieta</w:t>
      </w:r>
    </w:p>
    <w:p w14:paraId="5CAC38C8" w14:textId="77777777" w:rsidR="00404864" w:rsidRPr="00404864" w:rsidRDefault="00404864" w:rsidP="00404864">
      <w:pPr>
        <w:ind w:firstLine="567"/>
        <w:jc w:val="both"/>
        <w:rPr>
          <w:lang w:val="lt-LT"/>
        </w:rPr>
      </w:pPr>
      <w:r w:rsidRPr="00404864">
        <w:rPr>
          <w:lang w:val="lt-LT"/>
        </w:rPr>
        <w:t>1.5.1. Perkančioji organizacija nesuteikia paslaugų teikėjui patalpų bei darbo priemonių, reikalingų paslaugoms įvykdyti. Paslaugų teikėjas savo sąskaita turi užsitikrinti reikalingas sąlygas sutartiniams įsipareigojimams įvykdyti.</w:t>
      </w:r>
    </w:p>
    <w:p w14:paraId="560B44CB" w14:textId="05BA6DA1" w:rsidR="00404864" w:rsidRPr="00404864" w:rsidRDefault="00404864" w:rsidP="00404864">
      <w:pPr>
        <w:ind w:firstLine="567"/>
        <w:jc w:val="both"/>
        <w:rPr>
          <w:lang w:val="lt-LT"/>
        </w:rPr>
      </w:pPr>
      <w:r w:rsidRPr="00404864">
        <w:rPr>
          <w:lang w:val="lt-LT"/>
        </w:rPr>
        <w:t xml:space="preserve">1.5.2. </w:t>
      </w:r>
      <w:r w:rsidR="00F5323F">
        <w:rPr>
          <w:lang w:val="lt-LT"/>
        </w:rPr>
        <w:t>K</w:t>
      </w:r>
      <w:r w:rsidRPr="00404864">
        <w:rPr>
          <w:lang w:val="lt-LT"/>
        </w:rPr>
        <w:t>ai atliekama projekto patikra vietoje</w:t>
      </w:r>
      <w:r w:rsidR="001F3B46">
        <w:rPr>
          <w:lang w:val="lt-LT"/>
        </w:rPr>
        <w:t>,</w:t>
      </w:r>
      <w:r w:rsidR="00F5323F">
        <w:rPr>
          <w:lang w:val="lt-LT"/>
        </w:rPr>
        <w:t xml:space="preserve"> paslaugų vykdymo vieta yra </w:t>
      </w:r>
      <w:r w:rsidR="00C864F3">
        <w:rPr>
          <w:lang w:val="lt-LT"/>
        </w:rPr>
        <w:t xml:space="preserve">laikoma </w:t>
      </w:r>
      <w:r w:rsidR="00F5323F">
        <w:rPr>
          <w:lang w:val="lt-LT"/>
        </w:rPr>
        <w:t>projekto veiklų įgyvendinimo viet</w:t>
      </w:r>
      <w:r w:rsidR="00C864F3">
        <w:rPr>
          <w:lang w:val="lt-LT"/>
        </w:rPr>
        <w:t>a</w:t>
      </w:r>
      <w:r w:rsidRPr="00404864">
        <w:rPr>
          <w:lang w:val="lt-LT"/>
        </w:rPr>
        <w:t xml:space="preserve">. </w:t>
      </w:r>
    </w:p>
    <w:p w14:paraId="095B0E6B" w14:textId="77777777" w:rsidR="00647EF0" w:rsidRPr="00404864" w:rsidRDefault="00647EF0" w:rsidP="00404864">
      <w:pPr>
        <w:ind w:firstLine="567"/>
        <w:jc w:val="both"/>
        <w:rPr>
          <w:rFonts w:eastAsia="Calibri"/>
          <w:lang w:val="lt-LT"/>
        </w:rPr>
      </w:pPr>
    </w:p>
    <w:tbl>
      <w:tblPr>
        <w:tblW w:w="8688" w:type="dxa"/>
        <w:tblInd w:w="165" w:type="dxa"/>
        <w:tblLook w:val="0000" w:firstRow="0" w:lastRow="0" w:firstColumn="0" w:lastColumn="0" w:noHBand="0" w:noVBand="0"/>
      </w:tblPr>
      <w:tblGrid>
        <w:gridCol w:w="4224"/>
        <w:gridCol w:w="4464"/>
      </w:tblGrid>
      <w:tr w:rsidR="00647EF0" w:rsidRPr="00404864" w14:paraId="5AC3920B" w14:textId="77777777" w:rsidTr="00404864">
        <w:trPr>
          <w:trHeight w:val="1628"/>
        </w:trPr>
        <w:tc>
          <w:tcPr>
            <w:tcW w:w="4224" w:type="dxa"/>
          </w:tcPr>
          <w:p w14:paraId="0544DD37" w14:textId="77777777" w:rsidR="00404864" w:rsidRDefault="00404864" w:rsidP="00404864">
            <w:pPr>
              <w:tabs>
                <w:tab w:val="left" w:pos="720"/>
                <w:tab w:val="left" w:pos="1008"/>
                <w:tab w:val="left" w:pos="9630"/>
              </w:tabs>
              <w:rPr>
                <w:b/>
                <w:lang w:val="lt-LT"/>
              </w:rPr>
            </w:pPr>
          </w:p>
          <w:p w14:paraId="3DE73F41" w14:textId="77777777" w:rsidR="00647EF0" w:rsidRPr="00404864" w:rsidRDefault="00647EF0" w:rsidP="00404864">
            <w:pPr>
              <w:tabs>
                <w:tab w:val="left" w:pos="720"/>
                <w:tab w:val="left" w:pos="1008"/>
                <w:tab w:val="left" w:pos="9630"/>
              </w:tabs>
              <w:rPr>
                <w:b/>
                <w:lang w:val="lt-LT"/>
              </w:rPr>
            </w:pPr>
            <w:r w:rsidRPr="00404864">
              <w:rPr>
                <w:b/>
                <w:lang w:val="lt-LT"/>
              </w:rPr>
              <w:t>KLIENTAS</w:t>
            </w:r>
          </w:p>
          <w:p w14:paraId="6B7263E6" w14:textId="77777777" w:rsidR="00647EF0" w:rsidRPr="00404864" w:rsidRDefault="00647EF0" w:rsidP="00404864">
            <w:pPr>
              <w:jc w:val="both"/>
              <w:rPr>
                <w:b/>
                <w:bCs/>
                <w:lang w:val="lt-LT"/>
              </w:rPr>
            </w:pPr>
          </w:p>
          <w:p w14:paraId="1E6F4CBE" w14:textId="77777777" w:rsidR="00647EF0" w:rsidRPr="00404864" w:rsidRDefault="00647EF0" w:rsidP="00404864">
            <w:pPr>
              <w:jc w:val="both"/>
              <w:rPr>
                <w:b/>
                <w:bCs/>
                <w:lang w:val="lt-LT"/>
              </w:rPr>
            </w:pPr>
          </w:p>
          <w:p w14:paraId="2EDFD4F0" w14:textId="61308EC2" w:rsidR="00647EF0" w:rsidRPr="00404864" w:rsidRDefault="008C35F5" w:rsidP="00404864">
            <w:pPr>
              <w:rPr>
                <w:lang w:val="lt-LT"/>
              </w:rPr>
            </w:pPr>
            <w:r>
              <w:rPr>
                <w:lang w:val="lt-LT"/>
              </w:rPr>
              <w:t>Ministerijos k</w:t>
            </w:r>
            <w:r w:rsidRPr="00404864">
              <w:rPr>
                <w:lang w:val="lt-LT"/>
              </w:rPr>
              <w:t>anclerė</w:t>
            </w:r>
          </w:p>
          <w:p w14:paraId="5BF8D2B4" w14:textId="77777777" w:rsidR="00647EF0" w:rsidRPr="00404864" w:rsidRDefault="00647EF0" w:rsidP="00404864">
            <w:pPr>
              <w:rPr>
                <w:lang w:val="lt-LT"/>
              </w:rPr>
            </w:pPr>
          </w:p>
          <w:p w14:paraId="73B82339" w14:textId="77777777" w:rsidR="00647EF0" w:rsidRPr="00404864" w:rsidRDefault="00647EF0" w:rsidP="00404864">
            <w:pPr>
              <w:rPr>
                <w:lang w:val="lt-LT"/>
              </w:rPr>
            </w:pPr>
            <w:r w:rsidRPr="00404864">
              <w:rPr>
                <w:lang w:val="lt-LT"/>
              </w:rPr>
              <w:t xml:space="preserve">                                                              </w:t>
            </w:r>
          </w:p>
          <w:p w14:paraId="7A2C27C2" w14:textId="77777777" w:rsidR="00647EF0" w:rsidRPr="00404864" w:rsidRDefault="00647EF0" w:rsidP="00404864">
            <w:pPr>
              <w:rPr>
                <w:lang w:val="lt-LT"/>
              </w:rPr>
            </w:pPr>
            <w:r w:rsidRPr="00404864">
              <w:rPr>
                <w:lang w:val="lt-LT"/>
              </w:rPr>
              <w:t>Jovita Petkuvienė</w:t>
            </w:r>
          </w:p>
        </w:tc>
        <w:tc>
          <w:tcPr>
            <w:tcW w:w="4464" w:type="dxa"/>
          </w:tcPr>
          <w:p w14:paraId="0AFE269B" w14:textId="77777777" w:rsidR="00404864" w:rsidRDefault="00404864" w:rsidP="00404864">
            <w:pPr>
              <w:pStyle w:val="Antrat1"/>
              <w:tabs>
                <w:tab w:val="left" w:pos="9630"/>
              </w:tabs>
              <w:rPr>
                <w:rFonts w:eastAsia="Arial Unicode MS"/>
              </w:rPr>
            </w:pPr>
          </w:p>
          <w:p w14:paraId="531BB5CA" w14:textId="77777777" w:rsidR="00647EF0" w:rsidRPr="00404864" w:rsidRDefault="00647EF0" w:rsidP="00404864">
            <w:pPr>
              <w:pStyle w:val="Antrat1"/>
              <w:tabs>
                <w:tab w:val="left" w:pos="9630"/>
              </w:tabs>
              <w:rPr>
                <w:rFonts w:eastAsia="Arial Unicode MS"/>
              </w:rPr>
            </w:pPr>
            <w:r w:rsidRPr="00404864">
              <w:rPr>
                <w:rFonts w:eastAsia="Arial Unicode MS"/>
              </w:rPr>
              <w:t>PASLAUGŲ TEIKĖJAS</w:t>
            </w:r>
          </w:p>
          <w:p w14:paraId="6919EA09" w14:textId="77777777" w:rsidR="00647EF0" w:rsidRPr="00404864" w:rsidRDefault="00647EF0" w:rsidP="00404864">
            <w:pPr>
              <w:pStyle w:val="Lentele-ZET"/>
              <w:tabs>
                <w:tab w:val="left" w:pos="9630"/>
              </w:tabs>
              <w:spacing w:line="240" w:lineRule="auto"/>
              <w:jc w:val="both"/>
              <w:rPr>
                <w:rFonts w:ascii="Times New Roman" w:hAnsi="Times New Roman" w:cs="Times New Roman"/>
                <w:b/>
                <w:sz w:val="24"/>
                <w:szCs w:val="24"/>
              </w:rPr>
            </w:pPr>
          </w:p>
          <w:p w14:paraId="22344B70" w14:textId="77777777" w:rsidR="00647EF0" w:rsidRPr="00404864" w:rsidRDefault="00647EF0" w:rsidP="00404864">
            <w:pPr>
              <w:rPr>
                <w:lang w:val="lt-LT"/>
              </w:rPr>
            </w:pPr>
          </w:p>
          <w:p w14:paraId="4B3EDE4E" w14:textId="77777777" w:rsidR="00647EF0" w:rsidRPr="00404864" w:rsidRDefault="00404864" w:rsidP="00404864">
            <w:pPr>
              <w:rPr>
                <w:color w:val="000000"/>
                <w:lang w:val="lt-LT"/>
              </w:rPr>
            </w:pPr>
            <w:r w:rsidRPr="00404864">
              <w:rPr>
                <w:color w:val="000000"/>
                <w:lang w:val="lt-LT"/>
              </w:rPr>
              <w:t>Vadovė</w:t>
            </w:r>
          </w:p>
          <w:p w14:paraId="45E32F47" w14:textId="77777777" w:rsidR="00647EF0" w:rsidRPr="00404864" w:rsidRDefault="00647EF0" w:rsidP="00404864">
            <w:pPr>
              <w:pStyle w:val="Sraopastraipa"/>
              <w:jc w:val="center"/>
              <w:rPr>
                <w:color w:val="000000"/>
                <w:lang w:val="lt-LT"/>
              </w:rPr>
            </w:pPr>
          </w:p>
          <w:p w14:paraId="37998192" w14:textId="77777777" w:rsidR="00647EF0" w:rsidRPr="00404864" w:rsidRDefault="00647EF0" w:rsidP="00404864">
            <w:pPr>
              <w:pStyle w:val="Sraopastraipa"/>
              <w:jc w:val="center"/>
              <w:rPr>
                <w:color w:val="000000"/>
                <w:lang w:val="lt-LT"/>
              </w:rPr>
            </w:pPr>
            <w:r w:rsidRPr="00404864">
              <w:rPr>
                <w:color w:val="000000"/>
                <w:lang w:val="lt-LT"/>
              </w:rPr>
              <w:t xml:space="preserve">                                                                                       </w:t>
            </w:r>
          </w:p>
          <w:p w14:paraId="170CA285" w14:textId="77777777" w:rsidR="00647EF0" w:rsidRPr="00404864" w:rsidRDefault="00404864" w:rsidP="00404864">
            <w:pPr>
              <w:tabs>
                <w:tab w:val="left" w:pos="720"/>
                <w:tab w:val="left" w:pos="3982"/>
              </w:tabs>
              <w:rPr>
                <w:i/>
                <w:lang w:val="lt-LT"/>
              </w:rPr>
            </w:pPr>
            <w:r w:rsidRPr="00404864">
              <w:rPr>
                <w:color w:val="000000"/>
                <w:lang w:val="lt-LT"/>
              </w:rPr>
              <w:t>Aldona Kabokienė</w:t>
            </w:r>
          </w:p>
        </w:tc>
      </w:tr>
    </w:tbl>
    <w:p w14:paraId="1BC6A603" w14:textId="77777777" w:rsidR="00647EF0" w:rsidRPr="00404864" w:rsidRDefault="00647EF0" w:rsidP="00404864">
      <w:pPr>
        <w:tabs>
          <w:tab w:val="left" w:pos="709"/>
        </w:tabs>
        <w:rPr>
          <w:rFonts w:eastAsia="Calibri"/>
          <w:b/>
          <w:lang w:val="lt-LT"/>
        </w:rPr>
      </w:pPr>
    </w:p>
    <w:sectPr w:rsidR="00647EF0" w:rsidRPr="00404864" w:rsidSect="00404864">
      <w:headerReference w:type="even" r:id="rId10"/>
      <w:headerReference w:type="default" r:id="rId11"/>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59754" w14:textId="77777777" w:rsidR="00E37798" w:rsidRDefault="00E37798">
      <w:r>
        <w:separator/>
      </w:r>
    </w:p>
  </w:endnote>
  <w:endnote w:type="continuationSeparator" w:id="0">
    <w:p w14:paraId="70107BEF" w14:textId="77777777" w:rsidR="00E37798" w:rsidRDefault="00E3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55728" w14:textId="77777777" w:rsidR="00E37798" w:rsidRDefault="00E37798">
      <w:r>
        <w:separator/>
      </w:r>
    </w:p>
  </w:footnote>
  <w:footnote w:type="continuationSeparator" w:id="0">
    <w:p w14:paraId="343E3EF1" w14:textId="77777777" w:rsidR="00E37798" w:rsidRDefault="00E37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974E0" w14:textId="77777777" w:rsidR="00A35CD8" w:rsidRDefault="00647EF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F57F08" w14:textId="77777777" w:rsidR="00A35CD8" w:rsidRDefault="00E3779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D41AD" w14:textId="77777777" w:rsidR="00A35CD8" w:rsidRPr="00E61E79" w:rsidRDefault="00647EF0">
    <w:pPr>
      <w:pStyle w:val="Antrats"/>
      <w:framePr w:wrap="around" w:vAnchor="text" w:hAnchor="margin" w:xAlign="center" w:y="1"/>
      <w:rPr>
        <w:rStyle w:val="Puslapionumeris"/>
      </w:rPr>
    </w:pPr>
    <w:r w:rsidRPr="00E61E79">
      <w:rPr>
        <w:rStyle w:val="Puslapionumeris"/>
      </w:rPr>
      <w:fldChar w:fldCharType="begin"/>
    </w:r>
    <w:r w:rsidRPr="00E61E79">
      <w:rPr>
        <w:rStyle w:val="Puslapionumeris"/>
      </w:rPr>
      <w:instrText xml:space="preserve">PAGE  </w:instrText>
    </w:r>
    <w:r w:rsidRPr="00E61E79">
      <w:rPr>
        <w:rStyle w:val="Puslapionumeris"/>
      </w:rPr>
      <w:fldChar w:fldCharType="separate"/>
    </w:r>
    <w:r w:rsidR="00084B56">
      <w:rPr>
        <w:rStyle w:val="Puslapionumeris"/>
        <w:noProof/>
      </w:rPr>
      <w:t>3</w:t>
    </w:r>
    <w:r w:rsidRPr="00E61E79">
      <w:rPr>
        <w:rStyle w:val="Puslapionumeris"/>
      </w:rPr>
      <w:fldChar w:fldCharType="end"/>
    </w:r>
  </w:p>
  <w:p w14:paraId="71CD53E0" w14:textId="77777777" w:rsidR="00A35CD8" w:rsidRDefault="00E3779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226B"/>
    <w:multiLevelType w:val="multilevel"/>
    <w:tmpl w:val="1D9C71AA"/>
    <w:lvl w:ilvl="0">
      <w:start w:val="1"/>
      <w:numFmt w:val="decimal"/>
      <w:lvlText w:val="%1."/>
      <w:lvlJc w:val="left"/>
      <w:pPr>
        <w:ind w:left="360" w:hanging="360"/>
      </w:pPr>
      <w:rPr>
        <w:b w:val="0"/>
      </w:r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432528"/>
    <w:multiLevelType w:val="hybridMultilevel"/>
    <w:tmpl w:val="49BAEA02"/>
    <w:lvl w:ilvl="0" w:tplc="C21889C0">
      <w:start w:val="1"/>
      <w:numFmt w:val="decimal"/>
      <w:lvlText w:val="%1."/>
      <w:lvlJc w:val="left"/>
      <w:pPr>
        <w:ind w:left="720" w:hanging="360"/>
      </w:pPr>
      <w:rPr>
        <w:rFonts w:hint="default"/>
        <w:b/>
      </w:rPr>
    </w:lvl>
    <w:lvl w:ilvl="1" w:tplc="9684F47C">
      <w:start w:val="1"/>
      <w:numFmt w:val="decimal"/>
      <w:lvlText w:val="1.%2."/>
      <w:lvlJc w:val="left"/>
      <w:pPr>
        <w:ind w:left="1440" w:hanging="360"/>
      </w:pPr>
      <w:rPr>
        <w:rFonts w:cs="Times New Roman" w:hint="default"/>
        <w:b w:val="0"/>
        <w:bCs w:val="0"/>
        <w:i w:val="0"/>
        <w:iCs w:val="0"/>
        <w:color w:val="auto"/>
        <w:sz w:val="24"/>
        <w:szCs w:val="20"/>
      </w:rPr>
    </w:lvl>
    <w:lvl w:ilvl="2" w:tplc="0276BD1A">
      <w:start w:val="1"/>
      <w:numFmt w:val="bullet"/>
      <w:lvlText w:val=""/>
      <w:lvlJc w:val="left"/>
      <w:pPr>
        <w:ind w:left="2160" w:hanging="180"/>
      </w:pPr>
      <w:rPr>
        <w:rFonts w:ascii="Symbol" w:hAnsi="Symbol"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4EC1DE7"/>
    <w:multiLevelType w:val="hybridMultilevel"/>
    <w:tmpl w:val="C58E9666"/>
    <w:lvl w:ilvl="0" w:tplc="58C04D0C">
      <w:start w:val="1"/>
      <w:numFmt w:val="lowerLetter"/>
      <w:lvlText w:val="%1)"/>
      <w:lvlJc w:val="left"/>
      <w:pPr>
        <w:ind w:left="360" w:hanging="360"/>
      </w:pPr>
      <w:rPr>
        <w:rFonts w:hint="default"/>
        <w:b w:val="0"/>
        <w:sz w:val="24"/>
      </w:rPr>
    </w:lvl>
    <w:lvl w:ilvl="1" w:tplc="FFDC4F42">
      <w:start w:val="1"/>
      <w:numFmt w:val="decimal"/>
      <w:lvlText w:val="%2."/>
      <w:lvlJc w:val="left"/>
      <w:pPr>
        <w:ind w:left="0" w:hanging="360"/>
      </w:pPr>
      <w:rPr>
        <w:b/>
      </w:rPr>
    </w:lvl>
    <w:lvl w:ilvl="2" w:tplc="0427000F">
      <w:start w:val="1"/>
      <w:numFmt w:val="decimal"/>
      <w:lvlText w:val="%3."/>
      <w:lvlJc w:val="lef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255573AD"/>
    <w:multiLevelType w:val="hybridMultilevel"/>
    <w:tmpl w:val="8B84BEDA"/>
    <w:lvl w:ilvl="0" w:tplc="40D202D4">
      <w:start w:val="1"/>
      <w:numFmt w:val="decimal"/>
      <w:lvlText w:val="%1."/>
      <w:lvlJc w:val="left"/>
      <w:pPr>
        <w:ind w:left="720" w:hanging="360"/>
      </w:pPr>
      <w:rPr>
        <w:rFonts w:ascii="Times New Roman" w:hAnsi="Times New Roman" w:cs="Times New Roman" w:hint="default"/>
        <w:b/>
        <w:sz w:val="24"/>
      </w:rPr>
    </w:lvl>
    <w:lvl w:ilvl="1" w:tplc="FFDC4F42">
      <w:start w:val="1"/>
      <w:numFmt w:val="decimal"/>
      <w:lvlText w:val="%2."/>
      <w:lvlJc w:val="left"/>
      <w:pPr>
        <w:ind w:left="360" w:hanging="360"/>
      </w:pPr>
      <w:rPr>
        <w:b/>
      </w:rPr>
    </w:lvl>
    <w:lvl w:ilvl="2" w:tplc="0427000F">
      <w:start w:val="1"/>
      <w:numFmt w:val="decimal"/>
      <w:lvlText w:val="%3."/>
      <w:lvlJc w:val="lef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8CD4F52"/>
    <w:multiLevelType w:val="multilevel"/>
    <w:tmpl w:val="03426404"/>
    <w:lvl w:ilvl="0">
      <w:start w:val="1"/>
      <w:numFmt w:val="decimal"/>
      <w:lvlText w:val="%1."/>
      <w:lvlJc w:val="left"/>
      <w:pPr>
        <w:ind w:left="1211" w:hanging="360"/>
      </w:pPr>
      <w:rPr>
        <w:rFonts w:hint="default"/>
        <w:b w:val="0"/>
        <w:i w:val="0"/>
      </w:rPr>
    </w:lvl>
    <w:lvl w:ilvl="1">
      <w:start w:val="1"/>
      <w:numFmt w:val="decimal"/>
      <w:isLgl/>
      <w:lvlText w:val="%1.%2."/>
      <w:lvlJc w:val="left"/>
      <w:pPr>
        <w:ind w:left="1353" w:hanging="360"/>
      </w:pPr>
      <w:rPr>
        <w:rFonts w:ascii="Times New Roman" w:hAnsi="Times New Roman" w:cs="Times New Roman" w:hint="default"/>
        <w:i w:val="0"/>
        <w:sz w:val="24"/>
        <w:szCs w:val="24"/>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2C11C0E"/>
    <w:multiLevelType w:val="multilevel"/>
    <w:tmpl w:val="BCDAAFD4"/>
    <w:lvl w:ilvl="0">
      <w:start w:val="1"/>
      <w:numFmt w:val="decimal"/>
      <w:lvlText w:val="%1."/>
      <w:lvlJc w:val="left"/>
      <w:pPr>
        <w:ind w:left="360" w:hanging="360"/>
      </w:pPr>
      <w:rPr>
        <w:rFonts w:hint="default"/>
        <w:b/>
      </w:rPr>
    </w:lvl>
    <w:lvl w:ilvl="1">
      <w:start w:val="1"/>
      <w:numFmt w:val="decimal"/>
      <w:isLgl/>
      <w:lvlText w:val="%2."/>
      <w:lvlJc w:val="left"/>
      <w:pPr>
        <w:ind w:left="1080" w:hanging="360"/>
      </w:pPr>
      <w:rPr>
        <w:rFonts w:ascii="Times New Roman" w:eastAsia="Times New Roman" w:hAnsi="Times New Roman" w:cs="Times New Roman"/>
        <w:b w:val="0"/>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6" w15:restartNumberingAfterBreak="0">
    <w:nsid w:val="4AB83814"/>
    <w:multiLevelType w:val="multilevel"/>
    <w:tmpl w:val="12FCA094"/>
    <w:lvl w:ilvl="0">
      <w:start w:val="5"/>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50E65768"/>
    <w:multiLevelType w:val="multilevel"/>
    <w:tmpl w:val="AC3E72DC"/>
    <w:lvl w:ilvl="0">
      <w:start w:val="1"/>
      <w:numFmt w:val="decimal"/>
      <w:lvlText w:val="%1."/>
      <w:lvlJc w:val="left"/>
      <w:pPr>
        <w:ind w:left="360" w:hanging="360"/>
      </w:pPr>
      <w:rPr>
        <w:rFonts w:hint="default"/>
        <w:b w:val="0"/>
        <w:color w:val="auto"/>
        <w:u w:val="single"/>
      </w:rPr>
    </w:lvl>
    <w:lvl w:ilvl="1">
      <w:start w:val="1"/>
      <w:numFmt w:val="decimal"/>
      <w:lvlText w:val="%1.%2."/>
      <w:lvlJc w:val="left"/>
      <w:pPr>
        <w:ind w:left="644" w:hanging="360"/>
      </w:pPr>
      <w:rPr>
        <w:rFonts w:hint="default"/>
        <w:b w:val="0"/>
        <w:color w:val="auto"/>
        <w:u w:val="none"/>
      </w:rPr>
    </w:lvl>
    <w:lvl w:ilvl="2">
      <w:start w:val="1"/>
      <w:numFmt w:val="decimal"/>
      <w:lvlText w:val="%1.%2.%3."/>
      <w:lvlJc w:val="left"/>
      <w:pPr>
        <w:ind w:left="1288" w:hanging="720"/>
      </w:pPr>
      <w:rPr>
        <w:rFonts w:hint="default"/>
        <w:b w:val="0"/>
        <w:color w:val="auto"/>
        <w:u w:val="single"/>
      </w:rPr>
    </w:lvl>
    <w:lvl w:ilvl="3">
      <w:start w:val="1"/>
      <w:numFmt w:val="decimal"/>
      <w:lvlText w:val="%1.%2.%3.%4."/>
      <w:lvlJc w:val="left"/>
      <w:pPr>
        <w:ind w:left="1572" w:hanging="720"/>
      </w:pPr>
      <w:rPr>
        <w:rFonts w:hint="default"/>
        <w:b w:val="0"/>
        <w:color w:val="auto"/>
        <w:u w:val="single"/>
      </w:rPr>
    </w:lvl>
    <w:lvl w:ilvl="4">
      <w:start w:val="1"/>
      <w:numFmt w:val="decimal"/>
      <w:lvlText w:val="%1.%2.%3.%4.%5."/>
      <w:lvlJc w:val="left"/>
      <w:pPr>
        <w:ind w:left="2216" w:hanging="1080"/>
      </w:pPr>
      <w:rPr>
        <w:rFonts w:hint="default"/>
        <w:b w:val="0"/>
        <w:color w:val="auto"/>
        <w:u w:val="single"/>
      </w:rPr>
    </w:lvl>
    <w:lvl w:ilvl="5">
      <w:start w:val="1"/>
      <w:numFmt w:val="decimal"/>
      <w:lvlText w:val="%1.%2.%3.%4.%5.%6."/>
      <w:lvlJc w:val="left"/>
      <w:pPr>
        <w:ind w:left="2500" w:hanging="1080"/>
      </w:pPr>
      <w:rPr>
        <w:rFonts w:hint="default"/>
        <w:b w:val="0"/>
        <w:color w:val="auto"/>
        <w:u w:val="single"/>
      </w:rPr>
    </w:lvl>
    <w:lvl w:ilvl="6">
      <w:start w:val="1"/>
      <w:numFmt w:val="decimal"/>
      <w:lvlText w:val="%1.%2.%3.%4.%5.%6.%7."/>
      <w:lvlJc w:val="left"/>
      <w:pPr>
        <w:ind w:left="3144" w:hanging="1440"/>
      </w:pPr>
      <w:rPr>
        <w:rFonts w:hint="default"/>
        <w:b w:val="0"/>
        <w:color w:val="auto"/>
        <w:u w:val="single"/>
      </w:rPr>
    </w:lvl>
    <w:lvl w:ilvl="7">
      <w:start w:val="1"/>
      <w:numFmt w:val="decimal"/>
      <w:lvlText w:val="%1.%2.%3.%4.%5.%6.%7.%8."/>
      <w:lvlJc w:val="left"/>
      <w:pPr>
        <w:ind w:left="3428" w:hanging="1440"/>
      </w:pPr>
      <w:rPr>
        <w:rFonts w:hint="default"/>
        <w:b w:val="0"/>
        <w:color w:val="auto"/>
        <w:u w:val="single"/>
      </w:rPr>
    </w:lvl>
    <w:lvl w:ilvl="8">
      <w:start w:val="1"/>
      <w:numFmt w:val="decimal"/>
      <w:lvlText w:val="%1.%2.%3.%4.%5.%6.%7.%8.%9."/>
      <w:lvlJc w:val="left"/>
      <w:pPr>
        <w:ind w:left="4072" w:hanging="1800"/>
      </w:pPr>
      <w:rPr>
        <w:rFonts w:hint="default"/>
        <w:b w:val="0"/>
        <w:color w:val="auto"/>
        <w:u w:val="single"/>
      </w:rPr>
    </w:lvl>
  </w:abstractNum>
  <w:abstractNum w:abstractNumId="8" w15:restartNumberingAfterBreak="0">
    <w:nsid w:val="55FB3EA7"/>
    <w:multiLevelType w:val="hybridMultilevel"/>
    <w:tmpl w:val="9A7AA7AE"/>
    <w:lvl w:ilvl="0" w:tplc="DB445EC8">
      <w:start w:val="1"/>
      <w:numFmt w:val="upperRoman"/>
      <w:lvlText w:val="%1."/>
      <w:lvlJc w:val="left"/>
      <w:pPr>
        <w:ind w:left="1080" w:hanging="72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9E86D10"/>
    <w:multiLevelType w:val="hybridMultilevel"/>
    <w:tmpl w:val="DE40EEEC"/>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1965EE"/>
    <w:multiLevelType w:val="multilevel"/>
    <w:tmpl w:val="70B65B1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D62615F"/>
    <w:multiLevelType w:val="hybridMultilevel"/>
    <w:tmpl w:val="81C85D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num>
  <w:num w:numId="4">
    <w:abstractNumId w:val="10"/>
  </w:num>
  <w:num w:numId="5">
    <w:abstractNumId w:val="11"/>
  </w:num>
  <w:num w:numId="6">
    <w:abstractNumId w:val="9"/>
  </w:num>
  <w:num w:numId="7">
    <w:abstractNumId w:val="4"/>
  </w:num>
  <w:num w:numId="8">
    <w:abstractNumId w:val="3"/>
  </w:num>
  <w:num w:numId="9">
    <w:abstractNumId w:val="5"/>
  </w:num>
  <w:num w:numId="10">
    <w:abstractNumId w:val="1"/>
  </w:num>
  <w:num w:numId="11">
    <w:abstractNumId w:val="6"/>
  </w:num>
  <w:num w:numId="12">
    <w:abstractNumId w:val="8"/>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EF0"/>
    <w:rsid w:val="0001784D"/>
    <w:rsid w:val="00033E71"/>
    <w:rsid w:val="000571B3"/>
    <w:rsid w:val="00084B56"/>
    <w:rsid w:val="00103E89"/>
    <w:rsid w:val="001F3B46"/>
    <w:rsid w:val="002B7BB6"/>
    <w:rsid w:val="00321A49"/>
    <w:rsid w:val="00404864"/>
    <w:rsid w:val="00647EF0"/>
    <w:rsid w:val="006A7D4C"/>
    <w:rsid w:val="006F1ABC"/>
    <w:rsid w:val="0078485D"/>
    <w:rsid w:val="007E382E"/>
    <w:rsid w:val="007F0FE5"/>
    <w:rsid w:val="008C35F5"/>
    <w:rsid w:val="008D7FD4"/>
    <w:rsid w:val="008E0D0A"/>
    <w:rsid w:val="00A3166F"/>
    <w:rsid w:val="00BE0704"/>
    <w:rsid w:val="00C864F3"/>
    <w:rsid w:val="00E37798"/>
    <w:rsid w:val="00E54C93"/>
    <w:rsid w:val="00E6392B"/>
    <w:rsid w:val="00F040C9"/>
    <w:rsid w:val="00F532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64849"/>
  <w15:chartTrackingRefBased/>
  <w15:docId w15:val="{DA819205-2C1A-443A-9042-2883E37D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47EF0"/>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647EF0"/>
    <w:pPr>
      <w:keepNext/>
      <w:jc w:val="both"/>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647EF0"/>
    <w:rPr>
      <w:rFonts w:ascii="Times New Roman" w:eastAsia="Times New Roman" w:hAnsi="Times New Roman" w:cs="Times New Roman"/>
      <w:b/>
      <w:bCs/>
      <w:sz w:val="24"/>
      <w:szCs w:val="24"/>
    </w:rPr>
  </w:style>
  <w:style w:type="paragraph" w:styleId="Antrats">
    <w:name w:val="header"/>
    <w:basedOn w:val="prastasis"/>
    <w:link w:val="AntratsDiagrama"/>
    <w:uiPriority w:val="99"/>
    <w:rsid w:val="00647EF0"/>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647EF0"/>
    <w:rPr>
      <w:rFonts w:ascii="Times New Roman" w:eastAsia="Times New Roman" w:hAnsi="Times New Roman" w:cs="Times New Roman"/>
      <w:sz w:val="28"/>
      <w:szCs w:val="20"/>
    </w:rPr>
  </w:style>
  <w:style w:type="character" w:styleId="Puslapionumeris">
    <w:name w:val="page number"/>
    <w:basedOn w:val="Numatytasispastraiposriftas"/>
    <w:uiPriority w:val="99"/>
    <w:rsid w:val="00647EF0"/>
    <w:rPr>
      <w:rFonts w:cs="Times New Roman"/>
    </w:rPr>
  </w:style>
  <w:style w:type="paragraph" w:customStyle="1" w:styleId="Lentele-ZET">
    <w:name w:val="Lentele-ZET"/>
    <w:basedOn w:val="prastasis"/>
    <w:uiPriority w:val="99"/>
    <w:rsid w:val="00647EF0"/>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647EF0"/>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647EF0"/>
    <w:rPr>
      <w:rFonts w:ascii="Times New Roman" w:eastAsia="Times New Roman" w:hAnsi="Times New Roman" w:cs="Times New Roman"/>
      <w:sz w:val="24"/>
      <w:szCs w:val="24"/>
      <w:lang w:val="en-GB"/>
    </w:rPr>
  </w:style>
  <w:style w:type="character" w:styleId="Hipersaitas">
    <w:name w:val="Hyperlink"/>
    <w:aliases w:val="Alna"/>
    <w:basedOn w:val="Numatytasispastraiposriftas"/>
    <w:uiPriority w:val="99"/>
    <w:unhideWhenUsed/>
    <w:rsid w:val="00647EF0"/>
    <w:rPr>
      <w:rFonts w:ascii="Times New Roman" w:hAnsi="Times New Roman" w:cs="Times New Roman" w:hint="default"/>
      <w:color w:val="0000FF"/>
      <w:u w:val="single"/>
    </w:rPr>
  </w:style>
  <w:style w:type="paragraph" w:styleId="Debesliotekstas">
    <w:name w:val="Balloon Text"/>
    <w:basedOn w:val="prastasis"/>
    <w:link w:val="DebesliotekstasDiagrama"/>
    <w:uiPriority w:val="99"/>
    <w:semiHidden/>
    <w:unhideWhenUsed/>
    <w:rsid w:val="002B7BB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B7BB6"/>
    <w:rPr>
      <w:rFonts w:ascii="Segoe UI" w:eastAsia="Times New Roman" w:hAnsi="Segoe UI" w:cs="Segoe UI"/>
      <w:sz w:val="18"/>
      <w:szCs w:val="18"/>
      <w:lang w:val="en-GB"/>
    </w:rPr>
  </w:style>
  <w:style w:type="table" w:customStyle="1" w:styleId="Lentelstinklelis1">
    <w:name w:val="Lentelės tinklelis1"/>
    <w:basedOn w:val="prastojilentel"/>
    <w:next w:val="Lentelstinklelis"/>
    <w:uiPriority w:val="39"/>
    <w:rsid w:val="0040486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4048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C35F5"/>
    <w:rPr>
      <w:sz w:val="16"/>
      <w:szCs w:val="16"/>
    </w:rPr>
  </w:style>
  <w:style w:type="paragraph" w:styleId="Komentarotekstas">
    <w:name w:val="annotation text"/>
    <w:basedOn w:val="prastasis"/>
    <w:link w:val="KomentarotekstasDiagrama"/>
    <w:uiPriority w:val="99"/>
    <w:semiHidden/>
    <w:unhideWhenUsed/>
    <w:rsid w:val="008C35F5"/>
    <w:rPr>
      <w:sz w:val="20"/>
      <w:szCs w:val="20"/>
    </w:rPr>
  </w:style>
  <w:style w:type="character" w:customStyle="1" w:styleId="KomentarotekstasDiagrama">
    <w:name w:val="Komentaro tekstas Diagrama"/>
    <w:basedOn w:val="Numatytasispastraiposriftas"/>
    <w:link w:val="Komentarotekstas"/>
    <w:uiPriority w:val="99"/>
    <w:semiHidden/>
    <w:rsid w:val="008C35F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8C35F5"/>
    <w:rPr>
      <w:b/>
      <w:bCs/>
    </w:rPr>
  </w:style>
  <w:style w:type="character" w:customStyle="1" w:styleId="KomentarotemaDiagrama">
    <w:name w:val="Komentaro tema Diagrama"/>
    <w:basedOn w:val="KomentarotekstasDiagrama"/>
    <w:link w:val="Komentarotema"/>
    <w:uiPriority w:val="99"/>
    <w:semiHidden/>
    <w:rsid w:val="008C35F5"/>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f.lt/vidaus-saugumo-fondo-program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sf.lt/svvp-program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sf.lt/lr-teises-aktai"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6779</Words>
  <Characters>3865</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Rasa Malijauskienė</cp:lastModifiedBy>
  <cp:revision>3</cp:revision>
  <dcterms:created xsi:type="dcterms:W3CDTF">2023-11-14T11:53:00Z</dcterms:created>
  <dcterms:modified xsi:type="dcterms:W3CDTF">2023-11-14T11:53:00Z</dcterms:modified>
</cp:coreProperties>
</file>