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8407" w14:textId="722626E3" w:rsidR="004E3B33" w:rsidRDefault="00AB6C6C"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TRYLIKTO</w:t>
      </w:r>
      <w:r w:rsidR="00241BC0">
        <w:rPr>
          <w:rFonts w:asciiTheme="minorHAnsi" w:hAnsiTheme="minorHAnsi" w:cstheme="minorHAnsi"/>
          <w:b/>
          <w:sz w:val="20"/>
          <w:szCs w:val="20"/>
        </w:rPr>
        <w:t xml:space="preserve">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sidR="00241BC0">
        <w:rPr>
          <w:rFonts w:asciiTheme="minorHAnsi" w:hAnsiTheme="minorHAnsi" w:cstheme="minorHAnsi"/>
          <w:b/>
          <w:sz w:val="20"/>
          <w:szCs w:val="20"/>
        </w:rPr>
        <w:t xml:space="preserve">PRELIMINARIĄJĄ SUTARTĮ </w:t>
      </w:r>
      <w:r w:rsidR="00CC2A91">
        <w:rPr>
          <w:rFonts w:asciiTheme="minorHAnsi" w:hAnsiTheme="minorHAnsi" w:cstheme="minorHAnsi"/>
          <w:b/>
          <w:sz w:val="20"/>
          <w:szCs w:val="20"/>
        </w:rPr>
        <w:t>NR. SUT-P-132</w:t>
      </w:r>
    </w:p>
    <w:p w14:paraId="3CAEC149" w14:textId="2BC60E14" w:rsidR="00AB6C6C" w:rsidRPr="002D4846" w:rsidRDefault="00AB6C6C"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Vandentiekio tinklų vamzdynų ir įrengimų rekonstrukcijos paslaugos</w:t>
      </w:r>
      <w:r w:rsidR="00E559FD">
        <w:rPr>
          <w:rFonts w:asciiTheme="minorHAnsi" w:hAnsiTheme="minorHAnsi" w:cstheme="minorHAnsi"/>
          <w:b/>
          <w:sz w:val="20"/>
          <w:szCs w:val="20"/>
        </w:rPr>
        <w:t xml:space="preserve"> vandentiekio tinklų ruože (Žemynos g. – Medeinos g.)</w:t>
      </w:r>
    </w:p>
    <w:p w14:paraId="3B7DD5AA" w14:textId="2B42B250" w:rsidR="004E3B33" w:rsidRPr="002D4846" w:rsidRDefault="00AB6C6C" w:rsidP="004E3B33">
      <w:pPr>
        <w:spacing w:after="120"/>
        <w:jc w:val="center"/>
        <w:rPr>
          <w:rFonts w:asciiTheme="minorHAnsi" w:hAnsiTheme="minorHAnsi" w:cstheme="minorHAnsi"/>
          <w:sz w:val="20"/>
          <w:szCs w:val="20"/>
        </w:rPr>
      </w:pPr>
      <w:r>
        <w:rPr>
          <w:rFonts w:asciiTheme="minorHAnsi" w:hAnsiTheme="minorHAnsi" w:cstheme="minorHAnsi"/>
          <w:sz w:val="20"/>
          <w:szCs w:val="20"/>
        </w:rPr>
        <w:t xml:space="preserve">2018-                               d.  </w:t>
      </w:r>
      <w:r w:rsidR="004E3B33" w:rsidRPr="002D4846">
        <w:rPr>
          <w:rFonts w:asciiTheme="minorHAnsi" w:hAnsiTheme="minorHAnsi" w:cstheme="minorHAnsi"/>
          <w:sz w:val="20"/>
          <w:szCs w:val="20"/>
        </w:rPr>
        <w:t xml:space="preserve"> Nr. </w:t>
      </w:r>
      <w:r w:rsidR="004E3B33" w:rsidRPr="002D4846">
        <w:rPr>
          <w:rFonts w:asciiTheme="minorHAnsi" w:hAnsiTheme="minorHAnsi" w:cstheme="minorHAnsi"/>
          <w:i/>
          <w:sz w:val="20"/>
          <w:szCs w:val="20"/>
        </w:rPr>
        <w:t xml:space="preserve">__________________________, </w:t>
      </w:r>
      <w:r w:rsidR="004E3B33" w:rsidRPr="002D4846">
        <w:rPr>
          <w:rFonts w:asciiTheme="minorHAnsi" w:hAnsiTheme="minorHAnsi" w:cstheme="minorHAnsi"/>
          <w:sz w:val="20"/>
          <w:szCs w:val="20"/>
        </w:rPr>
        <w:t>Vilnius</w:t>
      </w:r>
    </w:p>
    <w:p w14:paraId="193D52BE" w14:textId="7C0E0EED"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proofErr w:type="spellStart"/>
      <w:r w:rsidR="00241BC0">
        <w:rPr>
          <w:rFonts w:asciiTheme="minorHAnsi" w:hAnsiTheme="minorHAnsi" w:cstheme="minorHAnsi"/>
          <w:b/>
          <w:sz w:val="20"/>
          <w:szCs w:val="20"/>
        </w:rPr>
        <w:t>Statovita</w:t>
      </w:r>
      <w:proofErr w:type="spellEnd"/>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715178A9"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BF156A">
              <w:rPr>
                <w:rFonts w:asciiTheme="minorHAnsi" w:eastAsiaTheme="minorHAnsi" w:hAnsiTheme="minorHAnsi" w:cstheme="minorHAnsi"/>
                <w:b/>
                <w:sz w:val="20"/>
                <w:szCs w:val="20"/>
              </w:rPr>
              <w:t>v</w:t>
            </w:r>
            <w:r w:rsidR="002D4846" w:rsidRPr="00E559FD">
              <w:rPr>
                <w:rFonts w:asciiTheme="minorHAnsi" w:eastAsiaTheme="minorHAnsi" w:hAnsiTheme="minorHAnsi" w:cstheme="minorHAnsi"/>
                <w:b/>
                <w:sz w:val="20"/>
                <w:szCs w:val="20"/>
              </w:rPr>
              <w:t xml:space="preserve">andentiekio tinklų </w:t>
            </w:r>
            <w:r w:rsidR="00241BC0" w:rsidRPr="00E559FD">
              <w:rPr>
                <w:rFonts w:asciiTheme="minorHAnsi" w:eastAsiaTheme="minorHAnsi" w:hAnsiTheme="minorHAnsi" w:cstheme="minorHAnsi"/>
                <w:b/>
                <w:sz w:val="20"/>
                <w:szCs w:val="20"/>
              </w:rPr>
              <w:t>vam</w:t>
            </w:r>
            <w:r w:rsidR="00BF156A">
              <w:rPr>
                <w:rFonts w:asciiTheme="minorHAnsi" w:eastAsiaTheme="minorHAnsi" w:hAnsiTheme="minorHAnsi" w:cstheme="minorHAnsi"/>
                <w:b/>
                <w:sz w:val="20"/>
                <w:szCs w:val="20"/>
              </w:rPr>
              <w:t>zdynų ir įrengimų rekonstrukcijos paslaugas</w:t>
            </w:r>
            <w:r w:rsidR="00241BC0" w:rsidRPr="00E559FD">
              <w:rPr>
                <w:rFonts w:asciiTheme="minorHAnsi" w:eastAsiaTheme="minorHAnsi" w:hAnsiTheme="minorHAnsi" w:cstheme="minorHAnsi"/>
                <w:b/>
                <w:sz w:val="20"/>
                <w:szCs w:val="20"/>
              </w:rPr>
              <w:t xml:space="preserve"> </w:t>
            </w:r>
            <w:r w:rsidR="00E559FD" w:rsidRPr="00E559FD">
              <w:rPr>
                <w:rFonts w:asciiTheme="minorHAnsi" w:eastAsiaTheme="minorHAnsi" w:hAnsiTheme="minorHAnsi" w:cstheme="minorHAnsi"/>
                <w:b/>
                <w:sz w:val="20"/>
                <w:szCs w:val="20"/>
              </w:rPr>
              <w:t>Žemynos - Medeinos gatvėse</w:t>
            </w:r>
            <w:r w:rsidR="00F21239">
              <w:rPr>
                <w:rFonts w:asciiTheme="minorHAnsi" w:eastAsiaTheme="minorHAnsi" w:hAnsiTheme="minorHAnsi" w:cstheme="minorHAnsi"/>
                <w:sz w:val="20"/>
                <w:szCs w:val="20"/>
              </w:rPr>
              <w:t>, Vilniuje,</w:t>
            </w:r>
            <w:r w:rsidR="00241BC0">
              <w:rPr>
                <w:rFonts w:asciiTheme="minorHAnsi" w:eastAsiaTheme="minorHAnsi" w:hAnsiTheme="minorHAnsi" w:cstheme="minorHAnsi"/>
                <w:sz w:val="20"/>
                <w:szCs w:val="20"/>
              </w:rPr>
              <w:t xml:space="preserve"> vandentiekio tinklų ruože</w:t>
            </w:r>
            <w:r w:rsidR="00A43BE0" w:rsidRPr="002D4846">
              <w:rPr>
                <w:rFonts w:asciiTheme="minorHAnsi" w:hAnsiTheme="minorHAnsi" w:cstheme="minorHAnsi"/>
                <w:sz w:val="20"/>
                <w:szCs w:val="20"/>
                <w:lang w:eastAsia="en-US"/>
              </w:rPr>
              <w:t xml:space="preserve"> (toliau – Darbai)</w:t>
            </w:r>
            <w:r w:rsidRPr="002D4846">
              <w:rPr>
                <w:rFonts w:asciiTheme="minorHAnsi" w:hAnsiTheme="minorHAnsi" w:cstheme="minorHAnsi"/>
                <w:sz w:val="20"/>
                <w:szCs w:val="20"/>
                <w:lang w:eastAsia="en-US"/>
              </w:rPr>
              <w:t xml:space="preserve">, kurie detalizuoti ir atitinka Techninėje specifikacijoje (Sutarties SD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0EFAC8F5"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w:t>
            </w:r>
            <w:r w:rsidRPr="0011434E">
              <w:rPr>
                <w:rFonts w:asciiTheme="minorHAnsi" w:hAnsiTheme="minorHAnsi" w:cstheme="minorHAnsi"/>
                <w:sz w:val="20"/>
                <w:szCs w:val="20"/>
                <w:lang w:eastAsia="en-US"/>
              </w:rPr>
              <w:t>tė: (1) Darbų kaina</w:t>
            </w:r>
            <w:r w:rsidR="002D4846" w:rsidRPr="0011434E">
              <w:rPr>
                <w:rFonts w:asciiTheme="minorHAnsi" w:hAnsiTheme="minorHAnsi" w:cstheme="minorHAnsi"/>
                <w:sz w:val="20"/>
                <w:szCs w:val="20"/>
                <w:lang w:eastAsia="en-US"/>
              </w:rPr>
              <w:t xml:space="preserve"> </w:t>
            </w:r>
            <w:r w:rsidR="00E559FD" w:rsidRPr="00E559FD">
              <w:rPr>
                <w:rFonts w:asciiTheme="minorHAnsi" w:hAnsiTheme="minorHAnsi" w:cstheme="minorHAnsi"/>
                <w:b/>
                <w:sz w:val="20"/>
                <w:szCs w:val="20"/>
              </w:rPr>
              <w:t>134.985,00</w:t>
            </w:r>
            <w:r w:rsidR="002D4846" w:rsidRPr="0011434E">
              <w:rPr>
                <w:rFonts w:asciiTheme="minorHAnsi" w:hAnsiTheme="minorHAnsi" w:cstheme="minorHAnsi"/>
                <w:sz w:val="20"/>
                <w:szCs w:val="20"/>
                <w:lang w:eastAsia="en-US"/>
              </w:rPr>
              <w:t xml:space="preserve"> be PVM</w:t>
            </w:r>
            <w:r w:rsidRPr="0011434E">
              <w:rPr>
                <w:rFonts w:asciiTheme="minorHAnsi" w:hAnsiTheme="minorHAnsi" w:cstheme="minorHAnsi"/>
                <w:sz w:val="20"/>
                <w:szCs w:val="20"/>
                <w:lang w:eastAsia="en-US"/>
              </w:rPr>
              <w:t xml:space="preserve">; (2) PVM </w:t>
            </w:r>
            <w:r w:rsidR="00E559FD" w:rsidRPr="00E559FD">
              <w:rPr>
                <w:rFonts w:asciiTheme="minorHAnsi" w:hAnsiTheme="minorHAnsi" w:cstheme="minorHAnsi"/>
                <w:b/>
                <w:sz w:val="20"/>
                <w:szCs w:val="20"/>
                <w:lang w:eastAsia="en-US"/>
              </w:rPr>
              <w:t>25.346,85</w:t>
            </w:r>
            <w:r w:rsidRPr="0011434E">
              <w:rPr>
                <w:rFonts w:asciiTheme="minorHAnsi" w:hAnsiTheme="minorHAnsi" w:cstheme="minorHAnsi"/>
                <w:sz w:val="20"/>
                <w:szCs w:val="20"/>
                <w:lang w:eastAsia="en-US"/>
              </w:rPr>
              <w:t>; (3) Darbų kaina</w:t>
            </w:r>
            <w:r w:rsidR="002D4846" w:rsidRPr="0011434E">
              <w:rPr>
                <w:rFonts w:asciiTheme="minorHAnsi" w:hAnsiTheme="minorHAnsi" w:cstheme="minorHAnsi"/>
                <w:sz w:val="20"/>
                <w:szCs w:val="20"/>
                <w:lang w:eastAsia="en-US"/>
              </w:rPr>
              <w:t xml:space="preserve"> </w:t>
            </w:r>
            <w:r w:rsidR="00E559FD" w:rsidRPr="00E559FD">
              <w:rPr>
                <w:rFonts w:asciiTheme="minorHAnsi" w:hAnsiTheme="minorHAnsi" w:cstheme="minorHAnsi"/>
                <w:b/>
                <w:sz w:val="20"/>
                <w:szCs w:val="20"/>
              </w:rPr>
              <w:t>163.331,85</w:t>
            </w:r>
            <w:r w:rsidR="0011434E" w:rsidRPr="0011434E">
              <w:rPr>
                <w:rFonts w:asciiTheme="minorHAnsi" w:hAnsiTheme="minorHAnsi" w:cstheme="minorHAnsi"/>
                <w:sz w:val="20"/>
                <w:szCs w:val="20"/>
              </w:rPr>
              <w:t xml:space="preserve"> EUR</w:t>
            </w:r>
            <w:r w:rsidRPr="0011434E">
              <w:rPr>
                <w:rFonts w:asciiTheme="minorHAnsi" w:hAnsiTheme="minorHAnsi" w:cstheme="minorHAnsi"/>
                <w:sz w:val="20"/>
                <w:szCs w:val="20"/>
                <w:lang w:eastAsia="en-US"/>
              </w:rPr>
              <w:t xml:space="preserve"> su PVM</w:t>
            </w:r>
            <w:r w:rsidRPr="002D4846">
              <w:rPr>
                <w:rFonts w:asciiTheme="minorHAnsi" w:hAnsiTheme="minorHAnsi" w:cstheme="minorHAnsi"/>
                <w:sz w:val="20"/>
                <w:szCs w:val="20"/>
                <w:lang w:eastAsia="en-US"/>
              </w:rPr>
              <w:t>.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0A55C7C7" w14:textId="2CAE4160"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Atsiskaitymas: pagal Sutarties SD priede Nr. </w:t>
            </w:r>
            <w:r w:rsidR="00E559FD">
              <w:rPr>
                <w:rFonts w:asciiTheme="minorHAnsi" w:hAnsiTheme="minorHAnsi" w:cstheme="minorHAnsi"/>
                <w:sz w:val="20"/>
                <w:szCs w:val="20"/>
              </w:rPr>
              <w:t>2</w:t>
            </w:r>
            <w:r w:rsidR="00BF156A">
              <w:rPr>
                <w:rFonts w:asciiTheme="minorHAnsi" w:hAnsiTheme="minorHAnsi" w:cstheme="minorHAnsi"/>
                <w:sz w:val="20"/>
                <w:szCs w:val="20"/>
              </w:rPr>
              <w:t>, ir Nr. 3</w:t>
            </w:r>
            <w:r w:rsidR="00E559FD">
              <w:rPr>
                <w:rFonts w:asciiTheme="minorHAnsi" w:hAnsiTheme="minorHAnsi" w:cstheme="minorHAnsi"/>
                <w:sz w:val="20"/>
                <w:szCs w:val="20"/>
              </w:rPr>
              <w:t xml:space="preserve"> nurodytą</w:t>
            </w:r>
            <w:r w:rsidRPr="002D4846">
              <w:rPr>
                <w:rFonts w:asciiTheme="minorHAnsi" w:hAnsiTheme="minorHAnsi" w:cstheme="minorHAnsi"/>
                <w:sz w:val="20"/>
                <w:szCs w:val="20"/>
              </w:rPr>
              <w:t xml:space="preserve"> Darbų</w:t>
            </w:r>
            <w:r w:rsidR="00E559FD">
              <w:rPr>
                <w:rFonts w:asciiTheme="minorHAnsi" w:hAnsiTheme="minorHAnsi" w:cstheme="minorHAnsi"/>
                <w:sz w:val="20"/>
                <w:szCs w:val="20"/>
              </w:rPr>
              <w:t xml:space="preserve"> kainą</w:t>
            </w:r>
            <w:r w:rsidR="00BF156A">
              <w:rPr>
                <w:rFonts w:asciiTheme="minorHAnsi" w:hAnsiTheme="minorHAnsi" w:cstheme="minorHAnsi"/>
                <w:sz w:val="20"/>
                <w:szCs w:val="20"/>
              </w:rPr>
              <w:t xml:space="preserve"> ir įkainius</w:t>
            </w:r>
            <w:r w:rsidR="00E559FD">
              <w:rPr>
                <w:rFonts w:asciiTheme="minorHAnsi" w:hAnsiTheme="minorHAnsi" w:cstheme="minorHAnsi"/>
                <w:sz w:val="20"/>
                <w:szCs w:val="20"/>
              </w:rPr>
              <w:t>.</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227CD4F5"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r w:rsidR="00E559FD">
              <w:rPr>
                <w:rFonts w:asciiTheme="minorHAnsi" w:hAnsiTheme="minorHAnsi" w:cstheme="minorHAnsi"/>
                <w:sz w:val="20"/>
                <w:szCs w:val="20"/>
              </w:rPr>
              <w:t xml:space="preserve">, bet </w:t>
            </w:r>
            <w:r w:rsidR="00E559FD" w:rsidRPr="00E559FD">
              <w:rPr>
                <w:rFonts w:asciiTheme="minorHAnsi" w:hAnsiTheme="minorHAnsi" w:cstheme="minorHAnsi"/>
                <w:b/>
                <w:sz w:val="20"/>
                <w:szCs w:val="20"/>
              </w:rPr>
              <w:t>ne vėliau kaip iki 2019-06-01</w:t>
            </w:r>
            <w:r w:rsidR="00724426" w:rsidRPr="002D4846">
              <w:rPr>
                <w:rFonts w:asciiTheme="minorHAnsi" w:hAnsiTheme="minorHAnsi" w:cstheme="minorHAnsi"/>
                <w:sz w:val="20"/>
                <w:szCs w:val="20"/>
              </w:rPr>
              <w:t>.</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lastRenderedPageBreak/>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425F8CE3"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66ACC4CB"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Rangovas apdraustas civilinės atsakomybės draudimu ne mažesne </w:t>
            </w:r>
            <w:r w:rsidRPr="00E64706">
              <w:rPr>
                <w:rFonts w:asciiTheme="minorHAnsi" w:hAnsiTheme="minorHAnsi" w:cstheme="minorHAnsi"/>
                <w:sz w:val="20"/>
                <w:szCs w:val="20"/>
              </w:rPr>
              <w:t>nei 43.443,00 EUR suma.</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proofErr w:type="spellStart"/>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proofErr w:type="spellEnd"/>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E64706" w:rsidRDefault="004E3B33" w:rsidP="00256B2E">
            <w:pPr>
              <w:jc w:val="both"/>
              <w:rPr>
                <w:rFonts w:asciiTheme="minorHAnsi" w:hAnsiTheme="minorHAnsi" w:cstheme="minorHAnsi"/>
                <w:sz w:val="20"/>
                <w:szCs w:val="20"/>
              </w:rPr>
            </w:pPr>
            <w:r w:rsidRPr="00E6470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E64706" w:rsidRDefault="00CF1CC0" w:rsidP="00256B2E">
            <w:pPr>
              <w:numPr>
                <w:ilvl w:val="0"/>
                <w:numId w:val="90"/>
              </w:numPr>
              <w:jc w:val="both"/>
              <w:rPr>
                <w:rFonts w:asciiTheme="minorHAnsi" w:hAnsiTheme="minorHAnsi" w:cstheme="minorHAnsi"/>
                <w:sz w:val="20"/>
                <w:szCs w:val="20"/>
              </w:rPr>
            </w:pPr>
            <w:r w:rsidRPr="00E64706">
              <w:rPr>
                <w:rFonts w:asciiTheme="minorHAnsi" w:hAnsiTheme="minorHAnsi" w:cstheme="minorHAnsi"/>
                <w:sz w:val="20"/>
                <w:szCs w:val="20"/>
              </w:rPr>
              <w:t>Techninė specifikacija;</w:t>
            </w:r>
          </w:p>
          <w:p w14:paraId="62C25224" w14:textId="77777777" w:rsidR="00CF1CC0" w:rsidRPr="00E64706" w:rsidRDefault="00835AF1" w:rsidP="00256B2E">
            <w:pPr>
              <w:numPr>
                <w:ilvl w:val="0"/>
                <w:numId w:val="90"/>
              </w:numPr>
              <w:jc w:val="both"/>
              <w:rPr>
                <w:rFonts w:asciiTheme="minorHAnsi" w:hAnsiTheme="minorHAnsi" w:cstheme="minorHAnsi"/>
                <w:sz w:val="20"/>
                <w:szCs w:val="20"/>
              </w:rPr>
            </w:pPr>
            <w:r w:rsidRPr="00E64706">
              <w:rPr>
                <w:rFonts w:asciiTheme="minorHAnsi" w:hAnsiTheme="minorHAnsi" w:cstheme="minorHAnsi"/>
                <w:sz w:val="20"/>
                <w:szCs w:val="20"/>
              </w:rPr>
              <w:t>Tiekėjo pasiūlymas;</w:t>
            </w:r>
          </w:p>
          <w:p w14:paraId="6AB44047" w14:textId="7FF2B66E" w:rsidR="00835AF1" w:rsidRPr="00E64706" w:rsidRDefault="00E64706" w:rsidP="00BF156A">
            <w:pPr>
              <w:numPr>
                <w:ilvl w:val="0"/>
                <w:numId w:val="90"/>
              </w:numPr>
              <w:jc w:val="both"/>
              <w:rPr>
                <w:rFonts w:asciiTheme="minorHAnsi" w:hAnsiTheme="minorHAnsi" w:cstheme="minorHAnsi"/>
                <w:sz w:val="20"/>
                <w:szCs w:val="20"/>
              </w:rPr>
            </w:pPr>
            <w:r w:rsidRPr="00E64706">
              <w:rPr>
                <w:rFonts w:asciiTheme="minorHAnsi" w:hAnsiTheme="minorHAnsi" w:cstheme="minorHAnsi"/>
                <w:sz w:val="20"/>
                <w:szCs w:val="20"/>
              </w:rPr>
              <w:t>Darbų</w:t>
            </w:r>
            <w:r w:rsidR="00BF156A" w:rsidRPr="00E64706">
              <w:rPr>
                <w:rFonts w:asciiTheme="minorHAnsi" w:hAnsiTheme="minorHAnsi" w:cstheme="minorHAnsi"/>
                <w:sz w:val="20"/>
                <w:szCs w:val="20"/>
              </w:rPr>
              <w:t xml:space="preserve"> sąmata.</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0426A977" w14:textId="0D0681E8" w:rsidR="004E3B33" w:rsidRPr="002D4846" w:rsidRDefault="004E3B33" w:rsidP="006B25B6">
            <w:pPr>
              <w:jc w:val="both"/>
              <w:rPr>
                <w:rFonts w:asciiTheme="minorHAnsi" w:hAnsiTheme="minorHAnsi" w:cstheme="minorHAnsi"/>
                <w:bCs/>
                <w:sz w:val="20"/>
                <w:szCs w:val="20"/>
              </w:rPr>
            </w:pP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proofErr w:type="spellStart"/>
            <w:r w:rsidR="00D33035" w:rsidRPr="00D33035">
              <w:rPr>
                <w:rFonts w:asciiTheme="minorHAnsi" w:hAnsiTheme="minorHAnsi" w:cstheme="minorHAnsi"/>
                <w:b/>
                <w:sz w:val="20"/>
                <w:szCs w:val="20"/>
              </w:rPr>
              <w:t>Statovita</w:t>
            </w:r>
            <w:proofErr w:type="spellEnd"/>
            <w:r w:rsidRPr="00D33035">
              <w:rPr>
                <w:rFonts w:asciiTheme="minorHAnsi" w:hAnsiTheme="minorHAnsi" w:cstheme="minorHAnsi"/>
                <w:b/>
                <w:sz w:val="20"/>
                <w:szCs w:val="20"/>
              </w:rPr>
              <w:t>“</w:t>
            </w:r>
          </w:p>
          <w:p w14:paraId="2CE0C9A4" w14:textId="4DB252CF" w:rsidR="004E3B33" w:rsidRPr="002D4846" w:rsidRDefault="004E3B33" w:rsidP="006B25B6">
            <w:pPr>
              <w:jc w:val="both"/>
              <w:rPr>
                <w:rFonts w:asciiTheme="minorHAnsi" w:hAnsiTheme="minorHAnsi" w:cstheme="minorHAnsi"/>
                <w:sz w:val="20"/>
                <w:szCs w:val="20"/>
              </w:rPr>
            </w:pP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bookmarkStart w:id="0" w:name="_GoBack"/>
      <w:bookmarkEnd w:id="0"/>
    </w:p>
    <w:sectPr w:rsidR="00CC2A91"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BDBB8" w14:textId="77777777" w:rsidR="002B47C8" w:rsidRDefault="002B47C8" w:rsidP="0043350F">
      <w:r>
        <w:separator/>
      </w:r>
    </w:p>
  </w:endnote>
  <w:endnote w:type="continuationSeparator" w:id="0">
    <w:p w14:paraId="363D0458" w14:textId="77777777" w:rsidR="002B47C8" w:rsidRDefault="002B47C8" w:rsidP="0043350F">
      <w:r>
        <w:continuationSeparator/>
      </w:r>
    </w:p>
  </w:endnote>
  <w:endnote w:type="continuationNotice" w:id="1">
    <w:p w14:paraId="6B274A29" w14:textId="77777777" w:rsidR="002B47C8" w:rsidRDefault="002B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5826" w14:textId="77777777" w:rsidR="002D4846" w:rsidRDefault="002D4846">
    <w:pPr>
      <w:pStyle w:val="Footer"/>
      <w:jc w:val="center"/>
    </w:pPr>
  </w:p>
  <w:p w14:paraId="338693AE" w14:textId="77777777" w:rsidR="002D4846" w:rsidRPr="00EE1CE0" w:rsidRDefault="002D4846"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16F52" w14:textId="77777777" w:rsidR="002B47C8" w:rsidRDefault="002B47C8" w:rsidP="0043350F">
      <w:r>
        <w:separator/>
      </w:r>
    </w:p>
  </w:footnote>
  <w:footnote w:type="continuationSeparator" w:id="0">
    <w:p w14:paraId="4408230B" w14:textId="77777777" w:rsidR="002B47C8" w:rsidRDefault="002B47C8" w:rsidP="0043350F">
      <w:r>
        <w:continuationSeparator/>
      </w:r>
    </w:p>
  </w:footnote>
  <w:footnote w:type="continuationNotice" w:id="1">
    <w:p w14:paraId="1DA29725" w14:textId="77777777" w:rsidR="002B47C8" w:rsidRDefault="002B47C8"/>
  </w:footnote>
  <w:footnote w:id="2">
    <w:p w14:paraId="25669FAE" w14:textId="77777777" w:rsidR="002D4846" w:rsidRPr="00846DA6" w:rsidRDefault="002D4846"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8DD8" w14:textId="679C5F03" w:rsidR="002D4846" w:rsidRDefault="002D4846">
    <w:pPr>
      <w:pStyle w:val="Header"/>
    </w:pPr>
  </w:p>
  <w:p w14:paraId="74F5F3E4" w14:textId="1A9A710F" w:rsidR="002D4846" w:rsidRDefault="002D4846"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4"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7"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0"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1"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3"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5"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6"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4"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9"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9"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0"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5"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7"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68"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3"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5"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7"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9"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0"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6"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9"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1"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6"/>
  </w:num>
  <w:num w:numId="2">
    <w:abstractNumId w:val="24"/>
  </w:num>
  <w:num w:numId="3">
    <w:abstractNumId w:val="79"/>
  </w:num>
  <w:num w:numId="4">
    <w:abstractNumId w:val="1"/>
  </w:num>
  <w:num w:numId="5">
    <w:abstractNumId w:val="63"/>
  </w:num>
  <w:num w:numId="6">
    <w:abstractNumId w:val="82"/>
  </w:num>
  <w:num w:numId="7">
    <w:abstractNumId w:val="25"/>
  </w:num>
  <w:num w:numId="8">
    <w:abstractNumId w:val="89"/>
  </w:num>
  <w:num w:numId="9">
    <w:abstractNumId w:val="62"/>
  </w:num>
  <w:num w:numId="10">
    <w:abstractNumId w:val="4"/>
  </w:num>
  <w:num w:numId="11">
    <w:abstractNumId w:val="84"/>
  </w:num>
  <w:num w:numId="12">
    <w:abstractNumId w:val="86"/>
  </w:num>
  <w:num w:numId="13">
    <w:abstractNumId w:val="80"/>
  </w:num>
  <w:num w:numId="14">
    <w:abstractNumId w:val="61"/>
  </w:num>
  <w:num w:numId="15">
    <w:abstractNumId w:val="69"/>
  </w:num>
  <w:num w:numId="16">
    <w:abstractNumId w:val="83"/>
  </w:num>
  <w:num w:numId="17">
    <w:abstractNumId w:val="21"/>
  </w:num>
  <w:num w:numId="18">
    <w:abstractNumId w:val="27"/>
  </w:num>
  <w:num w:numId="19">
    <w:abstractNumId w:val="41"/>
  </w:num>
  <w:num w:numId="20">
    <w:abstractNumId w:val="14"/>
  </w:num>
  <w:num w:numId="21">
    <w:abstractNumId w:val="70"/>
  </w:num>
  <w:num w:numId="22">
    <w:abstractNumId w:val="50"/>
  </w:num>
  <w:num w:numId="23">
    <w:abstractNumId w:val="38"/>
  </w:num>
  <w:num w:numId="24">
    <w:abstractNumId w:val="40"/>
  </w:num>
  <w:num w:numId="25">
    <w:abstractNumId w:val="51"/>
  </w:num>
  <w:num w:numId="26">
    <w:abstractNumId w:val="92"/>
  </w:num>
  <w:num w:numId="27">
    <w:abstractNumId w:val="17"/>
  </w:num>
  <w:num w:numId="28">
    <w:abstractNumId w:val="6"/>
  </w:num>
  <w:num w:numId="29">
    <w:abstractNumId w:val="8"/>
  </w:num>
  <w:num w:numId="30">
    <w:abstractNumId w:val="18"/>
  </w:num>
  <w:num w:numId="31">
    <w:abstractNumId w:val="66"/>
  </w:num>
  <w:num w:numId="32">
    <w:abstractNumId w:val="29"/>
  </w:num>
  <w:num w:numId="33">
    <w:abstractNumId w:val="72"/>
  </w:num>
  <w:num w:numId="34">
    <w:abstractNumId w:val="60"/>
  </w:num>
  <w:num w:numId="35">
    <w:abstractNumId w:val="48"/>
  </w:num>
  <w:num w:numId="36">
    <w:abstractNumId w:val="10"/>
  </w:num>
  <w:num w:numId="37">
    <w:abstractNumId w:val="26"/>
  </w:num>
  <w:num w:numId="38">
    <w:abstractNumId w:val="59"/>
  </w:num>
  <w:num w:numId="39">
    <w:abstractNumId w:val="34"/>
  </w:num>
  <w:num w:numId="40">
    <w:abstractNumId w:val="58"/>
  </w:num>
  <w:num w:numId="41">
    <w:abstractNumId w:val="71"/>
  </w:num>
  <w:num w:numId="42">
    <w:abstractNumId w:val="57"/>
  </w:num>
  <w:num w:numId="43">
    <w:abstractNumId w:val="49"/>
  </w:num>
  <w:num w:numId="44">
    <w:abstractNumId w:val="22"/>
  </w:num>
  <w:num w:numId="45">
    <w:abstractNumId w:val="73"/>
  </w:num>
  <w:num w:numId="46">
    <w:abstractNumId w:val="77"/>
  </w:num>
  <w:num w:numId="47">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32"/>
  </w:num>
  <w:num w:numId="52">
    <w:abstractNumId w:val="64"/>
  </w:num>
  <w:num w:numId="53">
    <w:abstractNumId w:val="33"/>
  </w:num>
  <w:num w:numId="54">
    <w:abstractNumId w:val="45"/>
  </w:num>
  <w:num w:numId="55">
    <w:abstractNumId w:val="54"/>
  </w:num>
  <w:num w:numId="56">
    <w:abstractNumId w:val="53"/>
  </w:num>
  <w:num w:numId="57">
    <w:abstractNumId w:val="15"/>
  </w:num>
  <w:num w:numId="58">
    <w:abstractNumId w:val="13"/>
  </w:num>
  <w:num w:numId="59">
    <w:abstractNumId w:val="43"/>
  </w:num>
  <w:num w:numId="60">
    <w:abstractNumId w:val="88"/>
  </w:num>
  <w:num w:numId="61">
    <w:abstractNumId w:val="65"/>
  </w:num>
  <w:num w:numId="62">
    <w:abstractNumId w:val="81"/>
  </w:num>
  <w:num w:numId="63">
    <w:abstractNumId w:val="44"/>
  </w:num>
  <w:num w:numId="64">
    <w:abstractNumId w:val="28"/>
  </w:num>
  <w:num w:numId="65">
    <w:abstractNumId w:val="16"/>
  </w:num>
  <w:num w:numId="66">
    <w:abstractNumId w:val="55"/>
  </w:num>
  <w:num w:numId="67">
    <w:abstractNumId w:val="52"/>
  </w:num>
  <w:num w:numId="68">
    <w:abstractNumId w:val="42"/>
  </w:num>
  <w:num w:numId="69">
    <w:abstractNumId w:val="19"/>
  </w:num>
  <w:num w:numId="70">
    <w:abstractNumId w:val="37"/>
  </w:num>
  <w:num w:numId="71">
    <w:abstractNumId w:val="2"/>
  </w:num>
  <w:num w:numId="72">
    <w:abstractNumId w:val="87"/>
  </w:num>
  <w:num w:numId="73">
    <w:abstractNumId w:val="75"/>
  </w:num>
  <w:num w:numId="74">
    <w:abstractNumId w:val="67"/>
  </w:num>
  <w:num w:numId="75">
    <w:abstractNumId w:val="56"/>
  </w:num>
  <w:num w:numId="76">
    <w:abstractNumId w:val="39"/>
  </w:num>
  <w:num w:numId="77">
    <w:abstractNumId w:val="78"/>
  </w:num>
  <w:num w:numId="78">
    <w:abstractNumId w:val="5"/>
  </w:num>
  <w:num w:numId="79">
    <w:abstractNumId w:val="23"/>
  </w:num>
  <w:num w:numId="80">
    <w:abstractNumId w:val="35"/>
  </w:num>
  <w:num w:numId="81">
    <w:abstractNumId w:val="11"/>
  </w:num>
  <w:num w:numId="82">
    <w:abstractNumId w:val="36"/>
  </w:num>
  <w:num w:numId="83">
    <w:abstractNumId w:val="0"/>
  </w:num>
  <w:num w:numId="84">
    <w:abstractNumId w:val="20"/>
  </w:num>
  <w:num w:numId="85">
    <w:abstractNumId w:val="90"/>
  </w:num>
  <w:num w:numId="86">
    <w:abstractNumId w:val="7"/>
  </w:num>
  <w:num w:numId="87">
    <w:abstractNumId w:val="68"/>
  </w:num>
  <w:num w:numId="88">
    <w:abstractNumId w:val="47"/>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num>
  <w:num w:numId="91">
    <w:abstractNumId w:val="12"/>
  </w:num>
  <w:num w:numId="92">
    <w:abstractNumId w:val="9"/>
  </w:num>
  <w:num w:numId="93">
    <w:abstractNumId w:val="30"/>
  </w:num>
  <w:num w:numId="94">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43C9"/>
    <w:rsid w:val="0010753B"/>
    <w:rsid w:val="001077EF"/>
    <w:rsid w:val="00110B68"/>
    <w:rsid w:val="00111427"/>
    <w:rsid w:val="00112E67"/>
    <w:rsid w:val="00112F7C"/>
    <w:rsid w:val="0011434E"/>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1F7C17"/>
    <w:rsid w:val="002005DF"/>
    <w:rsid w:val="00200E4D"/>
    <w:rsid w:val="00201FF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7C8"/>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C5D"/>
    <w:rsid w:val="003F2E6A"/>
    <w:rsid w:val="003F5B29"/>
    <w:rsid w:val="003F790B"/>
    <w:rsid w:val="003F7B7A"/>
    <w:rsid w:val="004009D6"/>
    <w:rsid w:val="00400C93"/>
    <w:rsid w:val="00400F96"/>
    <w:rsid w:val="00401367"/>
    <w:rsid w:val="00401B2D"/>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0AB2"/>
    <w:rsid w:val="00431BC5"/>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42"/>
    <w:rsid w:val="004836EB"/>
    <w:rsid w:val="00484121"/>
    <w:rsid w:val="0048422B"/>
    <w:rsid w:val="004844A2"/>
    <w:rsid w:val="004868BF"/>
    <w:rsid w:val="00486B7C"/>
    <w:rsid w:val="0048720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1E0D"/>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4A2C"/>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4F69"/>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64D"/>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3AA5"/>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0AD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35AF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2415"/>
    <w:rsid w:val="008A25EC"/>
    <w:rsid w:val="008A34AD"/>
    <w:rsid w:val="008A3FA3"/>
    <w:rsid w:val="008A4679"/>
    <w:rsid w:val="008A5704"/>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E0FD8"/>
    <w:rsid w:val="008E5558"/>
    <w:rsid w:val="008E73E5"/>
    <w:rsid w:val="008E76F8"/>
    <w:rsid w:val="008F0899"/>
    <w:rsid w:val="008F2E16"/>
    <w:rsid w:val="008F3EA0"/>
    <w:rsid w:val="008F40BE"/>
    <w:rsid w:val="008F4845"/>
    <w:rsid w:val="008F66F2"/>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6C6C"/>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5851"/>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59C"/>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40F0"/>
    <w:rsid w:val="00BA495E"/>
    <w:rsid w:val="00BB0834"/>
    <w:rsid w:val="00BB110D"/>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156A"/>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6CA"/>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2419"/>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8EC"/>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660"/>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59FD"/>
    <w:rsid w:val="00E56345"/>
    <w:rsid w:val="00E5634C"/>
    <w:rsid w:val="00E574A1"/>
    <w:rsid w:val="00E64706"/>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1239"/>
    <w:rsid w:val="00F2648C"/>
    <w:rsid w:val="00F2685C"/>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 w:type="table" w:customStyle="1" w:styleId="TableGrid7">
    <w:name w:val="Table Grid7"/>
    <w:basedOn w:val="TableNormal"/>
    <w:next w:val="TableGrid"/>
    <w:uiPriority w:val="99"/>
    <w:rsid w:val="0069664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99"/>
    <w:rsid w:val="00571E0D"/>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59137">
      <w:bodyDiv w:val="1"/>
      <w:marLeft w:val="0"/>
      <w:marRight w:val="0"/>
      <w:marTop w:val="0"/>
      <w:marBottom w:val="0"/>
      <w:divBdr>
        <w:top w:val="none" w:sz="0" w:space="0" w:color="auto"/>
        <w:left w:val="none" w:sz="0" w:space="0" w:color="auto"/>
        <w:bottom w:val="none" w:sz="0" w:space="0" w:color="auto"/>
        <w:right w:val="none" w:sz="0" w:space="0" w:color="auto"/>
      </w:divBdr>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4.xml><?xml version="1.0" encoding="utf-8"?>
<ds:datastoreItem xmlns:ds="http://schemas.openxmlformats.org/officeDocument/2006/customXml" ds:itemID="{67197290-9C24-4EF3-981F-C68066D49DD3}">
  <ds:schemaRefs>
    <ds:schemaRef ds:uri="http://schemas.openxmlformats.org/officeDocument/2006/bibliography"/>
  </ds:schemaRefs>
</ds:datastoreItem>
</file>

<file path=customXml/itemProps5.xml><?xml version="1.0" encoding="utf-8"?>
<ds:datastoreItem xmlns:ds="http://schemas.openxmlformats.org/officeDocument/2006/customXml" ds:itemID="{6BE3EBCA-30C5-4F1E-A8B6-31D6F6DA5CC0}">
  <ds:schemaRefs>
    <ds:schemaRef ds:uri="http://schemas.openxmlformats.org/officeDocument/2006/bibliography"/>
  </ds:schemaRefs>
</ds:datastoreItem>
</file>

<file path=customXml/itemProps6.xml><?xml version="1.0" encoding="utf-8"?>
<ds:datastoreItem xmlns:ds="http://schemas.openxmlformats.org/officeDocument/2006/customXml" ds:itemID="{B0EE8135-959E-4CB8-830D-1840EE65B303}">
  <ds:schemaRefs>
    <ds:schemaRef ds:uri="http://schemas.openxmlformats.org/officeDocument/2006/bibliography"/>
  </ds:schemaRefs>
</ds:datastoreItem>
</file>

<file path=customXml/itemProps7.xml><?xml version="1.0" encoding="utf-8"?>
<ds:datastoreItem xmlns:ds="http://schemas.openxmlformats.org/officeDocument/2006/customXml" ds:itemID="{E2836BDF-70BE-41F6-99C5-4F97C651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3971</Words>
  <Characters>2265</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Antanas Brazdžius</cp:lastModifiedBy>
  <cp:revision>17</cp:revision>
  <cp:lastPrinted>2017-10-30T12:58:00Z</cp:lastPrinted>
  <dcterms:created xsi:type="dcterms:W3CDTF">2018-08-23T12:24:00Z</dcterms:created>
  <dcterms:modified xsi:type="dcterms:W3CDTF">2019-07-18T06:27:00Z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