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AF" w:rsidRPr="00FE103A" w:rsidRDefault="00A51147" w:rsidP="00FE103A">
      <w:pPr>
        <w:spacing w:after="0" w:line="240" w:lineRule="auto"/>
        <w:ind w:firstLine="567"/>
        <w:jc w:val="right"/>
        <w:rPr>
          <w:rFonts w:ascii="Trebuchet MS" w:hAnsi="Trebuchet MS"/>
        </w:rPr>
      </w:pPr>
      <w:r>
        <w:rPr>
          <w:rFonts w:ascii="Trebuchet MS" w:hAnsi="Trebuchet MS"/>
        </w:rPr>
        <w:t>2</w:t>
      </w:r>
      <w:r w:rsidR="00964B69" w:rsidRPr="00FE103A">
        <w:rPr>
          <w:rFonts w:ascii="Trebuchet MS" w:hAnsi="Trebuchet MS"/>
        </w:rPr>
        <w:t xml:space="preserve"> priedas</w:t>
      </w:r>
    </w:p>
    <w:p w:rsidR="00964B69" w:rsidRPr="00FE103A" w:rsidRDefault="00964B69" w:rsidP="00FE103A">
      <w:pPr>
        <w:spacing w:after="0" w:line="240" w:lineRule="auto"/>
        <w:ind w:firstLine="567"/>
        <w:rPr>
          <w:rFonts w:ascii="Trebuchet MS" w:hAnsi="Trebuchet MS"/>
        </w:rPr>
      </w:pPr>
    </w:p>
    <w:p w:rsidR="00FE103A" w:rsidRPr="00FE103A" w:rsidRDefault="00FE103A" w:rsidP="00FE103A">
      <w:pPr>
        <w:spacing w:after="0" w:line="240" w:lineRule="auto"/>
        <w:ind w:firstLine="567"/>
        <w:jc w:val="center"/>
        <w:rPr>
          <w:rFonts w:ascii="Trebuchet MS" w:eastAsia="Times New Roman" w:hAnsi="Trebuchet MS" w:cs="Times New Roman"/>
          <w:b/>
        </w:rPr>
      </w:pPr>
      <w:r w:rsidRPr="00FE103A">
        <w:rPr>
          <w:rFonts w:ascii="Trebuchet MS" w:eastAsia="Times New Roman" w:hAnsi="Trebuchet MS" w:cs="Times New Roman"/>
          <w:b/>
        </w:rPr>
        <w:t>PIRKIMO SUTARTIES PROJEKTAS</w:t>
      </w:r>
    </w:p>
    <w:p w:rsidR="00FE103A" w:rsidRPr="00FE103A" w:rsidRDefault="00FE103A" w:rsidP="00FE103A">
      <w:pPr>
        <w:spacing w:after="0" w:line="240" w:lineRule="auto"/>
        <w:ind w:firstLine="567"/>
        <w:jc w:val="center"/>
        <w:rPr>
          <w:rFonts w:ascii="Trebuchet MS" w:eastAsia="Times New Roman" w:hAnsi="Trebuchet MS" w:cs="Times New Roman"/>
          <w:b/>
        </w:rPr>
      </w:pPr>
    </w:p>
    <w:p w:rsidR="00FE103A" w:rsidRPr="00FE103A"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FE103A">
        <w:rPr>
          <w:rFonts w:ascii="Trebuchet MS" w:eastAsia="Times New Roman" w:hAnsi="Trebuchet MS" w:cs="Times New Roman"/>
          <w:b/>
          <w:bCs/>
        </w:rPr>
        <w:t>SUTARTIES DALYKAS</w:t>
      </w:r>
    </w:p>
    <w:p w:rsidR="00FE103A" w:rsidRPr="00FE103A" w:rsidRDefault="00FE103A" w:rsidP="00FE103A">
      <w:pPr>
        <w:numPr>
          <w:ilvl w:val="1"/>
          <w:numId w:val="5"/>
        </w:numPr>
        <w:tabs>
          <w:tab w:val="left" w:pos="126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SUTARTIES dalykas − </w:t>
      </w:r>
      <w:r w:rsidR="00A51147">
        <w:rPr>
          <w:rFonts w:ascii="Trebuchet MS" w:hAnsi="Trebuchet MS" w:cs="Trebuchet MS"/>
        </w:rPr>
        <w:t xml:space="preserve">teisė gauti UŽSAKOVO turimos Oracle programinės įrangos gamintojo techninio palaikymo paslaugas </w:t>
      </w:r>
      <w:r w:rsidR="00A51147" w:rsidRPr="00B00CD1">
        <w:rPr>
          <w:rFonts w:ascii="Trebuchet MS" w:eastAsia="MS Mincho" w:hAnsi="Trebuchet MS"/>
          <w:lang w:eastAsia="ja-JP"/>
        </w:rPr>
        <w:t>(toliau –</w:t>
      </w:r>
      <w:r w:rsidR="00A51147">
        <w:rPr>
          <w:rFonts w:ascii="Trebuchet MS" w:eastAsia="MS Mincho" w:hAnsi="Trebuchet MS"/>
          <w:lang w:eastAsia="ja-JP"/>
        </w:rPr>
        <w:t xml:space="preserve"> PASLAUGA)</w:t>
      </w:r>
      <w:r w:rsidR="00A51147">
        <w:rPr>
          <w:rFonts w:ascii="Trebuchet MS" w:eastAsia="Times New Roman" w:hAnsi="Trebuchet MS" w:cs="Times New Roman"/>
        </w:rPr>
        <w:t>. PASLAUGA detalizuota</w:t>
      </w:r>
      <w:r w:rsidRPr="00FE103A">
        <w:rPr>
          <w:rFonts w:ascii="Trebuchet MS" w:eastAsia="Times New Roman" w:hAnsi="Trebuchet MS" w:cs="Times New Roman"/>
        </w:rPr>
        <w:t xml:space="preserve"> SUTARTYJE.</w:t>
      </w:r>
    </w:p>
    <w:p w:rsidR="00FE103A" w:rsidRPr="00FE103A" w:rsidRDefault="00FE103A" w:rsidP="00FE103A">
      <w:pPr>
        <w:numPr>
          <w:ilvl w:val="1"/>
          <w:numId w:val="5"/>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Visa nauda, kurią TIEKĖJAS suteiks UŽSAKOVUI SUTARTIES galiojimo metu, vykdydamas SUTARTIES nuostatas, toliau vadinama – PASLAUGOS ATLIKIMO rezultatu.</w:t>
      </w:r>
    </w:p>
    <w:p w:rsidR="00FE103A" w:rsidRPr="00FE103A" w:rsidRDefault="00527C9F" w:rsidP="00FE103A">
      <w:pPr>
        <w:numPr>
          <w:ilvl w:val="1"/>
          <w:numId w:val="5"/>
        </w:numPr>
        <w:tabs>
          <w:tab w:val="num" w:pos="1080"/>
        </w:tabs>
        <w:spacing w:after="0" w:line="240" w:lineRule="auto"/>
        <w:ind w:left="0" w:firstLine="567"/>
        <w:jc w:val="both"/>
        <w:rPr>
          <w:rFonts w:ascii="Trebuchet MS" w:eastAsia="Times New Roman" w:hAnsi="Trebuchet MS" w:cs="Times New Roman"/>
        </w:rPr>
      </w:pPr>
      <w:r>
        <w:rPr>
          <w:rFonts w:ascii="Trebuchet MS" w:eastAsia="Times New Roman" w:hAnsi="Trebuchet MS" w:cs="Times New Roman"/>
        </w:rPr>
        <w:t xml:space="preserve">PASLAUGĄ </w:t>
      </w:r>
      <w:r w:rsidR="00FE103A" w:rsidRPr="00FE103A">
        <w:rPr>
          <w:rFonts w:ascii="Trebuchet MS" w:eastAsia="Times New Roman" w:hAnsi="Trebuchet MS" w:cs="Times New Roman"/>
        </w:rPr>
        <w:t>atlieka TIEKĖJAS UŽSAKOVUI.</w:t>
      </w:r>
    </w:p>
    <w:p w:rsidR="00FE103A" w:rsidRPr="00FE103A" w:rsidRDefault="00FE103A" w:rsidP="00FE103A">
      <w:pPr>
        <w:numPr>
          <w:ilvl w:val="1"/>
          <w:numId w:val="5"/>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SUTARTYJE, KONKURSO DOKUMENTUOSE ir kituose dokumentuose, į kuriuos daro nuorodą KONKURSO DOKUMENTAI, nustatyti reikalavimai PASLAUGOS ATLIKIMUI ir ŠALIMS toliau SUTARTYJE vadinami REIKALAVIMAIS.</w:t>
      </w:r>
    </w:p>
    <w:p w:rsidR="00FE103A" w:rsidRPr="00FE103A" w:rsidRDefault="00FE103A" w:rsidP="00FE103A">
      <w:pPr>
        <w:numPr>
          <w:ilvl w:val="1"/>
          <w:numId w:val="5"/>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PASLAUGOS ATLIKIMAS turi būti vykdomas pagal REIKALAVIMUS.</w:t>
      </w:r>
    </w:p>
    <w:p w:rsidR="00FE103A" w:rsidRPr="00FE103A" w:rsidRDefault="00FE103A" w:rsidP="00FE103A">
      <w:pPr>
        <w:numPr>
          <w:ilvl w:val="1"/>
          <w:numId w:val="5"/>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Įsigaliojus naujiems Lietuvos Respublikos teisės aktams, susijusiems su PASLAUGOS ATLIKIMU, TIEKĖJAS privalo vykdyti jų nuostatas nuo įsigal</w:t>
      </w:r>
      <w:r w:rsidR="00071B05">
        <w:rPr>
          <w:rFonts w:ascii="Trebuchet MS" w:eastAsia="Times New Roman" w:hAnsi="Trebuchet MS" w:cs="Times New Roman"/>
        </w:rPr>
        <w:t>iojimo datos. PASLAUGOS ATLIKIM</w:t>
      </w:r>
      <w:r w:rsidRPr="00FE103A">
        <w:rPr>
          <w:rFonts w:ascii="Trebuchet MS" w:eastAsia="Times New Roman" w:hAnsi="Trebuchet MS" w:cs="Times New Roman"/>
        </w:rPr>
        <w:t>UI keliamų reikalavimų nuostatos, neatitinkančios įsigaliojusio naujojo teisės akto, nuo tokio teisės akto įsigaliojimo datos netaikomos, o vietoj jų taikomos įsigaliojusio naujojo</w:t>
      </w:r>
      <w:r w:rsidRPr="00FE103A">
        <w:rPr>
          <w:rFonts w:ascii="Trebuchet MS" w:eastAsia="Times New Roman" w:hAnsi="Trebuchet MS" w:cs="Times New Roman"/>
          <w:iCs/>
          <w:color w:val="000000"/>
        </w:rPr>
        <w:t xml:space="preserve"> Lietuvos Respublikos</w:t>
      </w:r>
      <w:r w:rsidRPr="00FE103A">
        <w:rPr>
          <w:rFonts w:ascii="Trebuchet MS" w:eastAsia="Times New Roman" w:hAnsi="Trebuchet MS" w:cs="Times New Roman"/>
        </w:rPr>
        <w:t xml:space="preserve"> teisės akto nuostatos. </w:t>
      </w:r>
    </w:p>
    <w:p w:rsidR="00FE103A" w:rsidRPr="00FE103A"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FE103A">
        <w:rPr>
          <w:rFonts w:ascii="Trebuchet MS" w:eastAsia="Times New Roman" w:hAnsi="Trebuchet MS" w:cs="Times New Roman"/>
          <w:b/>
          <w:bCs/>
        </w:rPr>
        <w:t>KAINA IR ATSISKAITYMAS</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bookmarkStart w:id="0" w:name="_Ref137859863"/>
      <w:r w:rsidRPr="00FE103A">
        <w:rPr>
          <w:rFonts w:ascii="Trebuchet MS" w:eastAsia="Times New Roman" w:hAnsi="Trebuchet MS" w:cs="Times New Roman"/>
        </w:rPr>
        <w:t>UŽSAKOVAS TIEKĖJUI avanso nemoka, t. y. iš anksto su TIEKĖJU neatsiskaito.</w:t>
      </w:r>
    </w:p>
    <w:p w:rsidR="00BE4C93"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C139CE">
        <w:rPr>
          <w:rFonts w:ascii="Trebuchet MS" w:eastAsia="Times New Roman" w:hAnsi="Trebuchet MS" w:cs="Times New Roman"/>
        </w:rPr>
        <w:t>UŽSAKOVAS atsiskaito su TIEKĖJU</w:t>
      </w:r>
      <w:r w:rsidR="00D931B9">
        <w:rPr>
          <w:rFonts w:ascii="Trebuchet MS" w:eastAsia="Times New Roman" w:hAnsi="Trebuchet MS" w:cs="Times New Roman"/>
        </w:rPr>
        <w:t xml:space="preserve"> dalimis</w:t>
      </w:r>
      <w:r w:rsidR="00BE4C93">
        <w:rPr>
          <w:rFonts w:ascii="Trebuchet MS" w:eastAsia="Times New Roman" w:hAnsi="Trebuchet MS" w:cs="Times New Roman"/>
        </w:rPr>
        <w:t xml:space="preserve"> kalendoriniam ketvirčiui pasibaigus (praporcingai metinei licencijos kainai)</w:t>
      </w:r>
      <w:r w:rsidRPr="00C139CE">
        <w:rPr>
          <w:rFonts w:ascii="Trebuchet MS" w:eastAsia="Times New Roman" w:hAnsi="Trebuchet MS" w:cs="Times New Roman"/>
        </w:rPr>
        <w:t xml:space="preserve"> per </w:t>
      </w:r>
      <w:r w:rsidR="00071B05">
        <w:rPr>
          <w:rFonts w:ascii="Trebuchet MS" w:eastAsia="Times New Roman" w:hAnsi="Trebuchet MS" w:cs="Times New Roman"/>
        </w:rPr>
        <w:t>14</w:t>
      </w:r>
      <w:r w:rsidRPr="00C139CE">
        <w:rPr>
          <w:rFonts w:ascii="Trebuchet MS" w:eastAsia="Times New Roman" w:hAnsi="Trebuchet MS" w:cs="Times New Roman"/>
        </w:rPr>
        <w:t xml:space="preserve"> kalendorinių dienų, </w:t>
      </w:r>
      <w:r w:rsidR="00D931B9">
        <w:rPr>
          <w:rFonts w:ascii="Trebuchet MS" w:eastAsia="Times New Roman" w:hAnsi="Trebuchet MS" w:cs="Times New Roman"/>
        </w:rPr>
        <w:t xml:space="preserve">nuo dienos </w:t>
      </w:r>
      <w:r w:rsidR="00071B05">
        <w:rPr>
          <w:rFonts w:ascii="Trebuchet MS" w:eastAsia="Times New Roman" w:hAnsi="Trebuchet MS" w:cs="Times New Roman"/>
        </w:rPr>
        <w:t>kai UŽSAKOVUI suteikiama teisė gauti gamintojo techninės priežiūros ir palaikymo paslaugas bei</w:t>
      </w:r>
      <w:r w:rsidRPr="00C139CE">
        <w:rPr>
          <w:rFonts w:ascii="Trebuchet MS" w:eastAsia="Times New Roman" w:hAnsi="Trebuchet MS" w:cs="Times New Roman"/>
        </w:rPr>
        <w:t xml:space="preserve"> pateikiama PVM sąskaita faktūra. </w:t>
      </w:r>
    </w:p>
    <w:p w:rsidR="00071B05"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C139CE">
        <w:rPr>
          <w:rFonts w:ascii="Trebuchet MS" w:eastAsia="Times New Roman" w:hAnsi="Trebuchet MS" w:cs="Times New Roman"/>
        </w:rPr>
        <w:t>TIEKĖJAS turi</w:t>
      </w:r>
      <w:r w:rsidRPr="00FE103A">
        <w:rPr>
          <w:rFonts w:ascii="Trebuchet MS" w:eastAsia="Times New Roman" w:hAnsi="Trebuchet MS" w:cs="Times New Roman"/>
        </w:rPr>
        <w:t xml:space="preserve"> pateikti PVM sąskaitą faktūrą per informacinę sistemą „E. sąskaita“, kuri pasiekiama adresu </w:t>
      </w:r>
      <w:hyperlink r:id="rId6" w:history="1">
        <w:r w:rsidR="00071B05" w:rsidRPr="00310722">
          <w:rPr>
            <w:rStyle w:val="Hyperlink"/>
            <w:rFonts w:ascii="Trebuchet MS" w:eastAsia="Times New Roman" w:hAnsi="Trebuchet MS" w:cs="Times New Roman"/>
          </w:rPr>
          <w:t>www.esaskaita.eu</w:t>
        </w:r>
      </w:hyperlink>
      <w:r w:rsidRPr="00FE103A">
        <w:rPr>
          <w:rFonts w:ascii="Trebuchet MS" w:eastAsia="Times New Roman" w:hAnsi="Trebuchet MS" w:cs="Times New Roman"/>
        </w:rPr>
        <w:t>.</w:t>
      </w:r>
    </w:p>
    <w:p w:rsidR="00E831C9"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 </w:t>
      </w:r>
      <w:r w:rsidR="00D931B9">
        <w:rPr>
          <w:rFonts w:ascii="Trebuchet MS" w:eastAsia="Times New Roman" w:hAnsi="Trebuchet MS" w:cs="Times New Roman"/>
        </w:rPr>
        <w:t>Apmokėjimas už tinkamai atliktą PASLAUGOS dalį, atliekamas kalendoriniam ketvirčiui pasibaigus, apmokant praporcingai vienos licencijos metinei kainai.</w:t>
      </w:r>
    </w:p>
    <w:p w:rsidR="004B6470"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PASLAUGOS ATLIKIMO kaina yra </w:t>
      </w:r>
      <w:r w:rsidR="004319F4" w:rsidRPr="004B6470">
        <w:rPr>
          <w:rFonts w:ascii="Trebuchet MS" w:eastAsia="Times New Roman" w:hAnsi="Trebuchet MS" w:cs="Times New Roman"/>
        </w:rPr>
        <w:t>228968,51</w:t>
      </w:r>
      <w:r w:rsidR="004319F4">
        <w:rPr>
          <w:rFonts w:ascii="Trebuchet MS" w:eastAsia="Times New Roman" w:hAnsi="Trebuchet MS" w:cs="Times New Roman"/>
        </w:rPr>
        <w:t xml:space="preserve"> </w:t>
      </w:r>
      <w:bookmarkStart w:id="1" w:name="_GoBack"/>
      <w:bookmarkEnd w:id="1"/>
      <w:r w:rsidRPr="00FE103A">
        <w:rPr>
          <w:rFonts w:ascii="Trebuchet MS" w:eastAsia="Times New Roman" w:hAnsi="Trebuchet MS" w:cs="Times New Roman"/>
        </w:rPr>
        <w:t>Eur su PVM (</w:t>
      </w:r>
      <w:r w:rsidR="002B3EF5">
        <w:rPr>
          <w:rFonts w:ascii="Trebuchet MS" w:eastAsia="Times New Roman" w:hAnsi="Trebuchet MS" w:cs="Times New Roman"/>
        </w:rPr>
        <w:t>39738,33</w:t>
      </w:r>
      <w:r w:rsidRPr="00FE103A">
        <w:rPr>
          <w:rFonts w:ascii="Trebuchet MS" w:eastAsia="Times New Roman" w:hAnsi="Trebuchet MS" w:cs="Times New Roman"/>
        </w:rPr>
        <w:t xml:space="preserve">). Į PASLAUGOS ATLIKIMO </w:t>
      </w:r>
      <w:r w:rsidRPr="00FE103A">
        <w:rPr>
          <w:rFonts w:ascii="Trebuchet MS" w:eastAsia="Times New Roman" w:hAnsi="Trebuchet MS" w:cs="Times New Roman"/>
          <w:bCs/>
        </w:rPr>
        <w:t>kainą</w:t>
      </w:r>
      <w:r w:rsidRPr="00FE103A">
        <w:rPr>
          <w:rFonts w:ascii="Trebuchet MS" w:eastAsia="Times New Roman" w:hAnsi="Trebuchet MS" w:cs="Times New Roman"/>
        </w:rPr>
        <w:t xml:space="preserve"> įtraukti visi susiję su TIEKĖJO įsipareigojimų pagal SUTARTĮ vykdymu TIEKĖJO mokami mokesčiai, pridėtinės išlaidos, išlaidos su</w:t>
      </w:r>
      <w:r w:rsidR="00BE4C93">
        <w:rPr>
          <w:rFonts w:ascii="Trebuchet MS" w:eastAsia="Times New Roman" w:hAnsi="Trebuchet MS" w:cs="Times New Roman"/>
        </w:rPr>
        <w:t>sijusios su E. Sąskaita sistema:</w:t>
      </w:r>
      <w:r w:rsidR="0083083A">
        <w:rPr>
          <w:rFonts w:ascii="Trebuchet MS" w:eastAsia="Times New Roman" w:hAnsi="Trebuchet MS" w:cs="Times New Roman"/>
        </w:rPr>
        <w:br/>
      </w:r>
    </w:p>
    <w:tbl>
      <w:tblPr>
        <w:tblpPr w:leftFromText="180" w:rightFromText="180" w:vertAnchor="text" w:tblpX="-299" w:tblpY="1"/>
        <w:tblOverlap w:val="never"/>
        <w:tblW w:w="10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94"/>
        <w:gridCol w:w="5245"/>
        <w:gridCol w:w="1276"/>
        <w:gridCol w:w="1559"/>
        <w:gridCol w:w="1276"/>
      </w:tblGrid>
      <w:tr w:rsidR="004B6470" w:rsidRPr="004B6470" w:rsidTr="004C38EC">
        <w:trPr>
          <w:cantSplit/>
          <w:trHeight w:val="615"/>
        </w:trPr>
        <w:tc>
          <w:tcPr>
            <w:tcW w:w="694" w:type="dxa"/>
            <w:tcBorders>
              <w:top w:val="single" w:sz="12" w:space="0" w:color="auto"/>
              <w:left w:val="single" w:sz="12" w:space="0" w:color="auto"/>
              <w:bottom w:val="single" w:sz="12" w:space="0" w:color="auto"/>
            </w:tcBorders>
            <w:vAlign w:val="center"/>
          </w:tcPr>
          <w:p w:rsidR="004B6470" w:rsidRPr="004B6470" w:rsidRDefault="004B6470" w:rsidP="004B6470">
            <w:pPr>
              <w:spacing w:after="0" w:line="240" w:lineRule="auto"/>
              <w:rPr>
                <w:rFonts w:ascii="Trebuchet MS" w:eastAsia="Times New Roman" w:hAnsi="Trebuchet MS" w:cs="Times New Roman"/>
                <w:b/>
                <w:sz w:val="24"/>
              </w:rPr>
            </w:pPr>
            <w:r w:rsidRPr="004B6470">
              <w:rPr>
                <w:rFonts w:ascii="Trebuchet MS" w:eastAsia="Times New Roman" w:hAnsi="Trebuchet MS" w:cs="Times New Roman"/>
                <w:b/>
                <w:sz w:val="24"/>
              </w:rPr>
              <w:t>Eil. Nr.</w:t>
            </w:r>
          </w:p>
        </w:tc>
        <w:tc>
          <w:tcPr>
            <w:tcW w:w="5245" w:type="dxa"/>
            <w:tcBorders>
              <w:top w:val="single" w:sz="12" w:space="0" w:color="auto"/>
              <w:bottom w:val="single" w:sz="12" w:space="0" w:color="auto"/>
              <w:right w:val="nil"/>
            </w:tcBorders>
            <w:vAlign w:val="center"/>
          </w:tcPr>
          <w:p w:rsidR="004B6470" w:rsidRPr="004B6470" w:rsidRDefault="004B6470" w:rsidP="004B6470">
            <w:pPr>
              <w:spacing w:after="0" w:line="240" w:lineRule="auto"/>
              <w:jc w:val="center"/>
              <w:rPr>
                <w:rFonts w:ascii="Trebuchet MS" w:eastAsia="Times New Roman" w:hAnsi="Trebuchet MS" w:cs="Times New Roman"/>
                <w:b/>
                <w:sz w:val="24"/>
              </w:rPr>
            </w:pPr>
            <w:r w:rsidRPr="004B6470">
              <w:rPr>
                <w:rFonts w:ascii="Trebuchet MS" w:eastAsia="Times New Roman" w:hAnsi="Trebuchet MS" w:cs="Times New Roman"/>
                <w:b/>
                <w:sz w:val="24"/>
              </w:rPr>
              <w:t xml:space="preserve">PASLAUGOS dalis </w:t>
            </w:r>
          </w:p>
        </w:tc>
        <w:tc>
          <w:tcPr>
            <w:tcW w:w="1276" w:type="dxa"/>
            <w:tcBorders>
              <w:top w:val="single" w:sz="12" w:space="0" w:color="auto"/>
              <w:bottom w:val="single" w:sz="12"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b/>
                <w:sz w:val="24"/>
              </w:rPr>
            </w:pPr>
            <w:r w:rsidRPr="004B6470">
              <w:rPr>
                <w:rFonts w:ascii="Trebuchet MS" w:eastAsia="Times New Roman" w:hAnsi="Trebuchet MS" w:cs="Times New Roman"/>
                <w:b/>
                <w:sz w:val="24"/>
              </w:rPr>
              <w:t>Licencijų kiekis vnt.</w:t>
            </w:r>
          </w:p>
        </w:tc>
        <w:tc>
          <w:tcPr>
            <w:tcW w:w="1559" w:type="dxa"/>
            <w:tcBorders>
              <w:top w:val="single" w:sz="12" w:space="0" w:color="auto"/>
              <w:bottom w:val="single" w:sz="12"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b/>
                <w:sz w:val="24"/>
              </w:rPr>
            </w:pPr>
            <w:r w:rsidRPr="004B6470">
              <w:rPr>
                <w:rFonts w:ascii="Trebuchet MS" w:eastAsia="Times New Roman" w:hAnsi="Trebuchet MS" w:cs="Times New Roman"/>
                <w:b/>
                <w:sz w:val="24"/>
              </w:rPr>
              <w:t>1 licencijos kaina eurais be PVM</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4B6470" w:rsidRPr="004B6470" w:rsidRDefault="004B6470" w:rsidP="004B6470">
            <w:pPr>
              <w:spacing w:after="0" w:line="240" w:lineRule="auto"/>
              <w:jc w:val="center"/>
              <w:rPr>
                <w:rFonts w:ascii="Trebuchet MS" w:eastAsia="Times New Roman" w:hAnsi="Trebuchet MS" w:cs="Times New Roman"/>
                <w:b/>
                <w:sz w:val="24"/>
              </w:rPr>
            </w:pPr>
            <w:r w:rsidRPr="004B6470">
              <w:rPr>
                <w:rFonts w:ascii="Trebuchet MS" w:eastAsia="Times New Roman" w:hAnsi="Trebuchet MS" w:cs="Times New Roman"/>
                <w:b/>
                <w:sz w:val="24"/>
              </w:rPr>
              <w:t>Kaina, eurais be PVM</w:t>
            </w:r>
          </w:p>
        </w:tc>
      </w:tr>
      <w:tr w:rsidR="004B6470" w:rsidRPr="004B6470" w:rsidTr="004C38EC">
        <w:trPr>
          <w:cantSplit/>
        </w:trPr>
        <w:tc>
          <w:tcPr>
            <w:tcW w:w="694" w:type="dxa"/>
            <w:tcBorders>
              <w:top w:val="single" w:sz="12" w:space="0" w:color="auto"/>
              <w:left w:val="single" w:sz="12" w:space="0" w:color="auto"/>
              <w:bottom w:val="single" w:sz="4" w:space="0" w:color="auto"/>
            </w:tcBorders>
          </w:tcPr>
          <w:p w:rsidR="004B6470" w:rsidRPr="004B6470" w:rsidRDefault="004B6470" w:rsidP="004B6470">
            <w:pPr>
              <w:tabs>
                <w:tab w:val="left" w:pos="144"/>
              </w:tabs>
              <w:snapToGrid w:val="0"/>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1.</w:t>
            </w:r>
          </w:p>
        </w:tc>
        <w:tc>
          <w:tcPr>
            <w:tcW w:w="5245" w:type="dxa"/>
            <w:tcBorders>
              <w:top w:val="single" w:sz="12" w:space="0" w:color="auto"/>
              <w:bottom w:val="single" w:sz="4" w:space="0" w:color="auto"/>
              <w:right w:val="nil"/>
            </w:tcBorders>
          </w:tcPr>
          <w:p w:rsidR="004B6470" w:rsidRPr="004B6470" w:rsidRDefault="004B6470" w:rsidP="004B6470">
            <w:pPr>
              <w:snapToGrid w:val="0"/>
              <w:spacing w:after="0" w:line="240" w:lineRule="auto"/>
              <w:rPr>
                <w:rFonts w:ascii="Trebuchet MS" w:eastAsia="Calibri" w:hAnsi="Trebuchet MS" w:cs="Times New Roman"/>
                <w:sz w:val="20"/>
                <w:szCs w:val="20"/>
              </w:rPr>
            </w:pPr>
            <w:r w:rsidRPr="004B6470">
              <w:rPr>
                <w:rFonts w:ascii="Trebuchet MS" w:eastAsia="Times New Roman" w:hAnsi="Trebuchet MS" w:cs="Times New Roman"/>
                <w:sz w:val="20"/>
                <w:szCs w:val="20"/>
              </w:rPr>
              <w:t>Teisė gauti 1 metų trukmės turimos Oracle Financials - Enterprise $M in Revenue Perpetual programinės įrangos gamintojo garantinio ir techninio aptarnavimo paslaugas nuo sutarties pasirašymo  dienos,  bet ne anksčiau kaip  nuo 2018-01-01 iki 2018-12-31 dienos. Kontrakto numeris – 5265639</w:t>
            </w:r>
          </w:p>
        </w:tc>
        <w:tc>
          <w:tcPr>
            <w:tcW w:w="1276" w:type="dxa"/>
            <w:tcBorders>
              <w:top w:val="single" w:sz="12" w:space="0" w:color="auto"/>
              <w:bottom w:val="single" w:sz="4"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100,06</w:t>
            </w:r>
          </w:p>
        </w:tc>
        <w:tc>
          <w:tcPr>
            <w:tcW w:w="1559" w:type="dxa"/>
            <w:tcBorders>
              <w:top w:val="single" w:sz="12" w:space="0" w:color="auto"/>
              <w:bottom w:val="single" w:sz="4"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17910,52</w:t>
            </w:r>
          </w:p>
        </w:tc>
        <w:tc>
          <w:tcPr>
            <w:tcW w:w="1276" w:type="dxa"/>
            <w:tcBorders>
              <w:top w:val="single" w:sz="12"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br/>
            </w:r>
            <w:r w:rsidRPr="004B6470">
              <w:rPr>
                <w:rFonts w:ascii="Trebuchet MS" w:eastAsia="Times New Roman" w:hAnsi="Trebuchet MS" w:cs="Times New Roman"/>
              </w:rPr>
              <w:br/>
              <w:t>17910,52</w:t>
            </w:r>
          </w:p>
        </w:tc>
      </w:tr>
      <w:tr w:rsidR="004B6470" w:rsidRPr="004B6470" w:rsidTr="004C38EC">
        <w:trPr>
          <w:cantSplit/>
        </w:trPr>
        <w:tc>
          <w:tcPr>
            <w:tcW w:w="694" w:type="dxa"/>
            <w:tcBorders>
              <w:top w:val="single" w:sz="4" w:space="0" w:color="auto"/>
              <w:left w:val="single" w:sz="12" w:space="0" w:color="auto"/>
            </w:tcBorders>
          </w:tcPr>
          <w:p w:rsidR="004B6470" w:rsidRPr="004B6470" w:rsidRDefault="004B6470" w:rsidP="004B6470">
            <w:pPr>
              <w:tabs>
                <w:tab w:val="left" w:pos="144"/>
              </w:tabs>
              <w:snapToGrid w:val="0"/>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w:t>
            </w:r>
          </w:p>
        </w:tc>
        <w:tc>
          <w:tcPr>
            <w:tcW w:w="5245" w:type="dxa"/>
            <w:tcBorders>
              <w:top w:val="single" w:sz="4" w:space="0" w:color="auto"/>
              <w:right w:val="nil"/>
            </w:tcBorders>
          </w:tcPr>
          <w:p w:rsidR="004B6470" w:rsidRPr="004B6470" w:rsidRDefault="004B6470" w:rsidP="004B6470">
            <w:pPr>
              <w:tabs>
                <w:tab w:val="left" w:pos="460"/>
              </w:tabs>
              <w:spacing w:after="0" w:line="240" w:lineRule="auto"/>
              <w:rPr>
                <w:rFonts w:ascii="Times New Roman" w:eastAsia="Times New Roman" w:hAnsi="Times New Roman" w:cs="Times New Roman"/>
                <w:sz w:val="20"/>
                <w:szCs w:val="20"/>
              </w:rPr>
            </w:pPr>
            <w:r w:rsidRPr="004B6470">
              <w:rPr>
                <w:rFonts w:ascii="Trebuchet MS" w:eastAsia="Times New Roman" w:hAnsi="Trebuchet MS" w:cs="Times New Roman"/>
                <w:sz w:val="20"/>
                <w:szCs w:val="20"/>
              </w:rPr>
              <w:t>Teisė gauti 1 metų trukmės turimos Oracle Inventory Management - Enterprise $M in Revenue Perpetual programinės įrangos gamintojo garantinio ir techninio aptarnavimo paslaugas  nuo  sutarties pasirašymo  dienos,  bet ne anksčiau kaip  nuo 2018-01-01 iki 2018-12-31 dienos. Kontrakto numeris – 5265639</w:t>
            </w:r>
          </w:p>
        </w:tc>
        <w:tc>
          <w:tcPr>
            <w:tcW w:w="1276"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100,06</w:t>
            </w:r>
          </w:p>
        </w:tc>
        <w:tc>
          <w:tcPr>
            <w:tcW w:w="1559"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4730,42</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4730,42</w:t>
            </w:r>
          </w:p>
        </w:tc>
      </w:tr>
      <w:tr w:rsidR="004B6470" w:rsidRPr="004B6470" w:rsidTr="004C38EC">
        <w:trPr>
          <w:cantSplit/>
        </w:trPr>
        <w:tc>
          <w:tcPr>
            <w:tcW w:w="694" w:type="dxa"/>
            <w:tcBorders>
              <w:top w:val="single" w:sz="4" w:space="0" w:color="auto"/>
              <w:left w:val="single" w:sz="12" w:space="0" w:color="auto"/>
            </w:tcBorders>
          </w:tcPr>
          <w:p w:rsidR="004B6470" w:rsidRPr="004B6470" w:rsidRDefault="004B6470" w:rsidP="004B6470">
            <w:pPr>
              <w:tabs>
                <w:tab w:val="left" w:pos="144"/>
              </w:tabs>
              <w:snapToGrid w:val="0"/>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3.</w:t>
            </w:r>
          </w:p>
        </w:tc>
        <w:tc>
          <w:tcPr>
            <w:tcW w:w="5245" w:type="dxa"/>
            <w:tcBorders>
              <w:top w:val="single" w:sz="4" w:space="0" w:color="auto"/>
              <w:right w:val="nil"/>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r w:rsidRPr="004B6470">
              <w:rPr>
                <w:rFonts w:ascii="Trebuchet MS" w:eastAsia="Times New Roman" w:hAnsi="Trebuchet MS" w:cs="Times New Roman"/>
                <w:sz w:val="20"/>
                <w:szCs w:val="20"/>
              </w:rPr>
              <w:t>Teisė gauti 1 metų trukmės  turimos Oracle Advanced Compression - Processor Perpetual  programinės įrangos gamintojo garantinio ir techninio aptarnavimo paslaugas nuo sutarties pasirašymo  dienos, bet ne anksčiau kaip  nuo 2018-02-28 iki 2019-02-27 dienos. Kontrakto numeris – 6262966</w:t>
            </w:r>
          </w:p>
        </w:tc>
        <w:tc>
          <w:tcPr>
            <w:tcW w:w="1276"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24</w:t>
            </w:r>
          </w:p>
        </w:tc>
        <w:tc>
          <w:tcPr>
            <w:tcW w:w="1559"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803,01</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br/>
            </w:r>
            <w:r w:rsidRPr="004B6470">
              <w:rPr>
                <w:rFonts w:ascii="Trebuchet MS" w:eastAsia="Times New Roman" w:hAnsi="Trebuchet MS" w:cs="Times New Roman"/>
              </w:rPr>
              <w:br/>
              <w:t>19272,24</w:t>
            </w:r>
          </w:p>
        </w:tc>
      </w:tr>
      <w:tr w:rsidR="004B6470" w:rsidRPr="004B6470" w:rsidTr="004C38EC">
        <w:trPr>
          <w:cantSplit/>
        </w:trPr>
        <w:tc>
          <w:tcPr>
            <w:tcW w:w="694" w:type="dxa"/>
            <w:tcBorders>
              <w:top w:val="single" w:sz="4" w:space="0" w:color="auto"/>
              <w:left w:val="single" w:sz="12" w:space="0" w:color="auto"/>
            </w:tcBorders>
          </w:tcPr>
          <w:p w:rsidR="004B6470" w:rsidRPr="004B6470" w:rsidRDefault="004B6470" w:rsidP="004B6470">
            <w:pPr>
              <w:tabs>
                <w:tab w:val="left" w:pos="144"/>
              </w:tabs>
              <w:snapToGrid w:val="0"/>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lastRenderedPageBreak/>
              <w:t>4.</w:t>
            </w:r>
          </w:p>
        </w:tc>
        <w:tc>
          <w:tcPr>
            <w:tcW w:w="5245" w:type="dxa"/>
            <w:tcBorders>
              <w:top w:val="single" w:sz="4" w:space="0" w:color="auto"/>
              <w:right w:val="nil"/>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r w:rsidRPr="004B6470">
              <w:rPr>
                <w:rFonts w:ascii="Trebuchet MS" w:eastAsia="Times New Roman" w:hAnsi="Trebuchet MS" w:cs="Times New Roman"/>
                <w:sz w:val="20"/>
                <w:szCs w:val="20"/>
              </w:rPr>
              <w:t>Teisė gauti 1 metų trukmės turimos Partitioning - Processor Perpetual  programinės įrangos  gamintojo garantinio ir techninio aptarnavimo paslaugas nuo sutarties pasirašymo dienos, bet ne anksčiau kaip nuo 2018-02-28  iki 2019-02-27 dienos. Kontrakto numeris – 6262966</w:t>
            </w:r>
          </w:p>
        </w:tc>
        <w:tc>
          <w:tcPr>
            <w:tcW w:w="1276"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24</w:t>
            </w:r>
          </w:p>
        </w:tc>
        <w:tc>
          <w:tcPr>
            <w:tcW w:w="1559"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803,01</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p>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br/>
              <w:t>19272,24</w:t>
            </w:r>
          </w:p>
        </w:tc>
      </w:tr>
      <w:tr w:rsidR="004B6470" w:rsidRPr="004B6470" w:rsidTr="004C38EC">
        <w:trPr>
          <w:cantSplit/>
        </w:trPr>
        <w:tc>
          <w:tcPr>
            <w:tcW w:w="694" w:type="dxa"/>
            <w:tcBorders>
              <w:top w:val="single" w:sz="4" w:space="0" w:color="auto"/>
              <w:left w:val="single" w:sz="12" w:space="0" w:color="auto"/>
            </w:tcBorders>
          </w:tcPr>
          <w:p w:rsidR="004B6470" w:rsidRPr="004B6470" w:rsidRDefault="004B6470" w:rsidP="004B6470">
            <w:pPr>
              <w:tabs>
                <w:tab w:val="left" w:pos="144"/>
              </w:tabs>
              <w:snapToGrid w:val="0"/>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5.</w:t>
            </w:r>
          </w:p>
        </w:tc>
        <w:tc>
          <w:tcPr>
            <w:tcW w:w="5245" w:type="dxa"/>
            <w:tcBorders>
              <w:top w:val="single" w:sz="4" w:space="0" w:color="auto"/>
              <w:right w:val="nil"/>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r w:rsidRPr="004B6470">
              <w:rPr>
                <w:rFonts w:ascii="Trebuchet MS" w:eastAsia="Times New Roman" w:hAnsi="Trebuchet MS" w:cs="Times New Roman"/>
                <w:sz w:val="20"/>
                <w:szCs w:val="20"/>
              </w:rPr>
              <w:t>Teisė gauti 1 metų trukmės turimos Oracle Database Enterprise Edition - Processor Perpetual programinės įrangos gamintojo garantinio ir techninio aptarnavimo paslaugas nuo sutarties pasirašymo  dienos, bet ne anksčiau kaip nuo 2018-02-28 iki 2019-02-27 dienos. Kontrakto numeris – 6262966</w:t>
            </w:r>
          </w:p>
        </w:tc>
        <w:tc>
          <w:tcPr>
            <w:tcW w:w="1276"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24</w:t>
            </w:r>
          </w:p>
        </w:tc>
        <w:tc>
          <w:tcPr>
            <w:tcW w:w="1559" w:type="dxa"/>
            <w:tcBorders>
              <w:top w:val="single" w:sz="4" w:space="0" w:color="auto"/>
              <w:bottom w:val="single" w:sz="4"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3316,79</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br/>
            </w:r>
            <w:r w:rsidRPr="004B6470">
              <w:rPr>
                <w:rFonts w:ascii="Trebuchet MS" w:eastAsia="Times New Roman" w:hAnsi="Trebuchet MS" w:cs="Times New Roman"/>
              </w:rPr>
              <w:br/>
              <w:t>79602,96</w:t>
            </w:r>
          </w:p>
        </w:tc>
      </w:tr>
      <w:tr w:rsidR="004B6470" w:rsidRPr="004B6470" w:rsidTr="004C38EC">
        <w:trPr>
          <w:cantSplit/>
        </w:trPr>
        <w:tc>
          <w:tcPr>
            <w:tcW w:w="694" w:type="dxa"/>
            <w:tcBorders>
              <w:left w:val="single" w:sz="12" w:space="0" w:color="auto"/>
              <w:bottom w:val="single" w:sz="12" w:space="0" w:color="auto"/>
            </w:tcBorders>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6.</w:t>
            </w:r>
          </w:p>
        </w:tc>
        <w:tc>
          <w:tcPr>
            <w:tcW w:w="5245" w:type="dxa"/>
            <w:tcBorders>
              <w:bottom w:val="single" w:sz="12" w:space="0" w:color="auto"/>
              <w:right w:val="nil"/>
            </w:tcBorders>
          </w:tcPr>
          <w:p w:rsidR="004B6470" w:rsidRPr="004B6470" w:rsidRDefault="004B6470" w:rsidP="004B6470">
            <w:pPr>
              <w:tabs>
                <w:tab w:val="left" w:pos="460"/>
              </w:tabs>
              <w:spacing w:after="0" w:line="240" w:lineRule="auto"/>
              <w:rPr>
                <w:rFonts w:ascii="Trebuchet MS" w:eastAsia="Times New Roman" w:hAnsi="Trebuchet MS" w:cs="Times New Roman"/>
                <w:sz w:val="20"/>
                <w:szCs w:val="20"/>
              </w:rPr>
            </w:pPr>
            <w:r w:rsidRPr="004B6470">
              <w:rPr>
                <w:rFonts w:ascii="Trebuchet MS" w:eastAsia="Times New Roman" w:hAnsi="Trebuchet MS" w:cs="Times New Roman"/>
                <w:sz w:val="20"/>
                <w:szCs w:val="20"/>
              </w:rPr>
              <w:t>Teisė gauti 1 metų trukmės turimos Exadata Storage Server Software - Disk Drive Perpetual programinės įrangos gamintojo garantinio ir techninio aptarnavimo paslaugas nuo sutarties pasirašymo  dienos, bet ne anksčiau kaip nuo  2018-02-28 iki 2019-02-27 dienos. Kontrakto numeris – 6259465</w:t>
            </w:r>
          </w:p>
        </w:tc>
        <w:tc>
          <w:tcPr>
            <w:tcW w:w="1276" w:type="dxa"/>
            <w:tcBorders>
              <w:bottom w:val="single" w:sz="12"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36</w:t>
            </w:r>
          </w:p>
        </w:tc>
        <w:tc>
          <w:tcPr>
            <w:tcW w:w="1559" w:type="dxa"/>
            <w:tcBorders>
              <w:bottom w:val="single" w:sz="12"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763,73</w:t>
            </w:r>
          </w:p>
        </w:tc>
        <w:tc>
          <w:tcPr>
            <w:tcW w:w="1276" w:type="dxa"/>
            <w:tcBorders>
              <w:top w:val="single" w:sz="4" w:space="0" w:color="auto"/>
              <w:left w:val="single" w:sz="4" w:space="0" w:color="auto"/>
              <w:bottom w:val="single" w:sz="12"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p>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br/>
              <w:t>27494,28</w:t>
            </w:r>
          </w:p>
        </w:tc>
      </w:tr>
      <w:tr w:rsidR="004B6470" w:rsidRPr="004B6470" w:rsidTr="004C38EC">
        <w:trPr>
          <w:cantSplit/>
        </w:trPr>
        <w:tc>
          <w:tcPr>
            <w:tcW w:w="694" w:type="dxa"/>
            <w:tcBorders>
              <w:left w:val="single" w:sz="12" w:space="0" w:color="auto"/>
              <w:bottom w:val="single" w:sz="12" w:space="0" w:color="auto"/>
            </w:tcBorders>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7.</w:t>
            </w:r>
          </w:p>
        </w:tc>
        <w:tc>
          <w:tcPr>
            <w:tcW w:w="5245" w:type="dxa"/>
            <w:tcBorders>
              <w:bottom w:val="single" w:sz="12" w:space="0" w:color="auto"/>
              <w:right w:val="nil"/>
            </w:tcBorders>
          </w:tcPr>
          <w:p w:rsidR="004B6470" w:rsidRPr="004B6470" w:rsidRDefault="004B6470" w:rsidP="004B6470">
            <w:pPr>
              <w:tabs>
                <w:tab w:val="left" w:pos="460"/>
              </w:tabs>
              <w:spacing w:after="0" w:line="240" w:lineRule="auto"/>
              <w:rPr>
                <w:rFonts w:ascii="Trebuchet MS" w:eastAsia="Times New Roman" w:hAnsi="Trebuchet MS" w:cs="Times New Roman"/>
                <w:sz w:val="20"/>
                <w:szCs w:val="20"/>
              </w:rPr>
            </w:pPr>
            <w:r w:rsidRPr="004B6470">
              <w:rPr>
                <w:rFonts w:ascii="Trebuchet MS" w:eastAsia="Times New Roman" w:hAnsi="Trebuchet MS" w:cs="Times New Roman"/>
                <w:sz w:val="20"/>
                <w:szCs w:val="20"/>
              </w:rPr>
              <w:t xml:space="preserve">Teisė gauti 1 metų trukmės turimos Oracle </w:t>
            </w:r>
            <w:r w:rsidRPr="004B6470">
              <w:rPr>
                <w:rFonts w:ascii="Times New Roman" w:eastAsia="Times New Roman" w:hAnsi="Times New Roman" w:cs="Times New Roman"/>
                <w:sz w:val="20"/>
                <w:szCs w:val="20"/>
              </w:rPr>
              <w:t xml:space="preserve"> </w:t>
            </w:r>
            <w:r w:rsidRPr="004B6470">
              <w:rPr>
                <w:rFonts w:ascii="Trebuchet MS" w:eastAsia="Times New Roman" w:hAnsi="Trebuchet MS" w:cs="Times New Roman"/>
                <w:sz w:val="20"/>
                <w:szCs w:val="20"/>
              </w:rPr>
              <w:t>WebLogic Suite - Processor Perpetual programinės įrangos gamintojo garantinio ir techninio aptarnavimo paslaugas nuo sutarties pasirašymo  dienos, bet ne anksčiau kaip nuo 2018-07-29 iki 2019-07-28 dienos. Kontrakto numeris – 6361232</w:t>
            </w:r>
          </w:p>
        </w:tc>
        <w:tc>
          <w:tcPr>
            <w:tcW w:w="1276" w:type="dxa"/>
            <w:tcBorders>
              <w:bottom w:val="single" w:sz="12"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w:t>
            </w:r>
          </w:p>
        </w:tc>
        <w:tc>
          <w:tcPr>
            <w:tcW w:w="1559" w:type="dxa"/>
            <w:tcBorders>
              <w:bottom w:val="single" w:sz="12"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4598,23</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9196,46</w:t>
            </w:r>
          </w:p>
        </w:tc>
      </w:tr>
      <w:tr w:rsidR="004B6470" w:rsidRPr="004B6470" w:rsidTr="004C38EC">
        <w:trPr>
          <w:cantSplit/>
        </w:trPr>
        <w:tc>
          <w:tcPr>
            <w:tcW w:w="694" w:type="dxa"/>
            <w:tcBorders>
              <w:left w:val="single" w:sz="12" w:space="0" w:color="auto"/>
              <w:bottom w:val="single" w:sz="12" w:space="0" w:color="auto"/>
            </w:tcBorders>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8.</w:t>
            </w:r>
          </w:p>
        </w:tc>
        <w:tc>
          <w:tcPr>
            <w:tcW w:w="5245" w:type="dxa"/>
            <w:tcBorders>
              <w:bottom w:val="single" w:sz="12" w:space="0" w:color="auto"/>
              <w:right w:val="nil"/>
            </w:tcBorders>
          </w:tcPr>
          <w:p w:rsidR="004B6470" w:rsidRPr="004B6470" w:rsidRDefault="004B6470" w:rsidP="004B6470">
            <w:pPr>
              <w:tabs>
                <w:tab w:val="left" w:pos="460"/>
              </w:tabs>
              <w:spacing w:after="0" w:line="240" w:lineRule="auto"/>
              <w:rPr>
                <w:rFonts w:ascii="Trebuchet MS" w:eastAsia="Times New Roman" w:hAnsi="Trebuchet MS" w:cs="Times New Roman"/>
                <w:sz w:val="20"/>
                <w:szCs w:val="20"/>
              </w:rPr>
            </w:pPr>
            <w:r w:rsidRPr="004B6470">
              <w:rPr>
                <w:rFonts w:ascii="Trebuchet MS" w:eastAsia="Times New Roman" w:hAnsi="Trebuchet MS" w:cs="Times New Roman"/>
                <w:sz w:val="20"/>
                <w:szCs w:val="20"/>
              </w:rPr>
              <w:t xml:space="preserve">Teisė gauti 1 metų trukmės turimos Oracle </w:t>
            </w:r>
            <w:r w:rsidRPr="004B6470">
              <w:rPr>
                <w:rFonts w:ascii="Times New Roman" w:eastAsia="Times New Roman" w:hAnsi="Times New Roman" w:cs="Times New Roman"/>
                <w:sz w:val="20"/>
                <w:szCs w:val="20"/>
              </w:rPr>
              <w:t xml:space="preserve"> </w:t>
            </w:r>
            <w:r w:rsidRPr="004B6470">
              <w:rPr>
                <w:rFonts w:ascii="Trebuchet MS" w:eastAsia="Times New Roman" w:hAnsi="Trebuchet MS" w:cs="Times New Roman"/>
                <w:sz w:val="20"/>
                <w:szCs w:val="20"/>
              </w:rPr>
              <w:t>SOA Suite for Oracle Middleware - Processor Perpetual programinės įrangos gamintojo garantinio ir techninio aptarnavimo paslaugas nuo sutarties pasirašymo  dienos, bet ne anksčiau kaip nuo 2018-07-29 iki 2019-07-28 dienos. Kontrakto numeris – 6361232</w:t>
            </w:r>
          </w:p>
        </w:tc>
        <w:tc>
          <w:tcPr>
            <w:tcW w:w="1276" w:type="dxa"/>
            <w:tcBorders>
              <w:bottom w:val="single" w:sz="12" w:space="0" w:color="auto"/>
              <w:right w:val="single" w:sz="4" w:space="0" w:color="auto"/>
            </w:tcBorders>
            <w:vAlign w:val="center"/>
          </w:tcPr>
          <w:p w:rsidR="004B6470" w:rsidRPr="004B6470" w:rsidRDefault="004B6470" w:rsidP="004B6470">
            <w:pPr>
              <w:spacing w:after="0" w:line="240" w:lineRule="auto"/>
              <w:jc w:val="center"/>
              <w:rPr>
                <w:rFonts w:ascii="Trebuchet MS" w:eastAsia="Times New Roman" w:hAnsi="Trebuchet MS" w:cs="Times New Roman"/>
                <w:sz w:val="20"/>
                <w:szCs w:val="20"/>
              </w:rPr>
            </w:pPr>
            <w:r w:rsidRPr="004B6470">
              <w:rPr>
                <w:rFonts w:ascii="Trebuchet MS" w:eastAsia="Times New Roman" w:hAnsi="Trebuchet MS" w:cs="Times New Roman"/>
                <w:sz w:val="20"/>
                <w:szCs w:val="20"/>
              </w:rPr>
              <w:t>2</w:t>
            </w:r>
          </w:p>
        </w:tc>
        <w:tc>
          <w:tcPr>
            <w:tcW w:w="1559" w:type="dxa"/>
            <w:tcBorders>
              <w:bottom w:val="single" w:sz="12" w:space="0" w:color="auto"/>
              <w:right w:val="single" w:sz="4" w:space="0" w:color="auto"/>
            </w:tcBorders>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5875,53</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11751,06</w:t>
            </w:r>
          </w:p>
        </w:tc>
      </w:tr>
      <w:tr w:rsidR="004B6470" w:rsidRPr="004B6470" w:rsidTr="004C38EC">
        <w:trPr>
          <w:cantSplit/>
          <w:trHeight w:val="183"/>
        </w:trPr>
        <w:tc>
          <w:tcPr>
            <w:tcW w:w="694" w:type="dxa"/>
            <w:tcBorders>
              <w:left w:val="nil"/>
              <w:bottom w:val="nil"/>
              <w:right w:val="nil"/>
            </w:tcBorders>
          </w:tcPr>
          <w:p w:rsidR="004B6470" w:rsidRPr="004B6470" w:rsidRDefault="004B6470" w:rsidP="004B6470">
            <w:pPr>
              <w:spacing w:after="0" w:line="240" w:lineRule="auto"/>
              <w:jc w:val="center"/>
              <w:rPr>
                <w:rFonts w:ascii="Trebuchet MS" w:eastAsia="Times New Roman" w:hAnsi="Trebuchet MS" w:cs="Times New Roman"/>
                <w:sz w:val="24"/>
              </w:rPr>
            </w:pPr>
          </w:p>
        </w:tc>
        <w:tc>
          <w:tcPr>
            <w:tcW w:w="5245" w:type="dxa"/>
            <w:tcBorders>
              <w:left w:val="nil"/>
              <w:bottom w:val="nil"/>
              <w:right w:val="single" w:sz="12" w:space="0" w:color="auto"/>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p>
        </w:tc>
        <w:tc>
          <w:tcPr>
            <w:tcW w:w="2835" w:type="dxa"/>
            <w:gridSpan w:val="2"/>
            <w:tcBorders>
              <w:left w:val="single" w:sz="12" w:space="0" w:color="auto"/>
              <w:bottom w:val="single" w:sz="4" w:space="0" w:color="auto"/>
              <w:right w:val="single" w:sz="4" w:space="0" w:color="auto"/>
            </w:tcBorders>
          </w:tcPr>
          <w:p w:rsidR="004B6470" w:rsidRPr="004B6470" w:rsidRDefault="004B6470" w:rsidP="004B6470">
            <w:pPr>
              <w:spacing w:after="0" w:line="240" w:lineRule="auto"/>
              <w:jc w:val="right"/>
              <w:rPr>
                <w:rFonts w:ascii="Trebuchet MS" w:eastAsia="Times New Roman" w:hAnsi="Trebuchet MS" w:cs="Times New Roman"/>
                <w:b/>
                <w:sz w:val="24"/>
              </w:rPr>
            </w:pPr>
            <w:r w:rsidRPr="004B6470">
              <w:rPr>
                <w:rFonts w:ascii="Trebuchet MS" w:eastAsia="Times New Roman" w:hAnsi="Trebuchet MS" w:cs="Times New Roman"/>
                <w:b/>
                <w:sz w:val="24"/>
              </w:rPr>
              <w:t>PASLAUGOS kaina be PVM:</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both"/>
              <w:rPr>
                <w:rFonts w:ascii="Trebuchet MS" w:eastAsia="Times New Roman" w:hAnsi="Trebuchet MS" w:cs="Times New Roman"/>
              </w:rPr>
            </w:pPr>
            <w:r w:rsidRPr="004B6470">
              <w:rPr>
                <w:rFonts w:ascii="Trebuchet MS" w:eastAsia="Times New Roman" w:hAnsi="Trebuchet MS" w:cs="Times New Roman"/>
              </w:rPr>
              <w:t>189230,18</w:t>
            </w:r>
          </w:p>
        </w:tc>
      </w:tr>
      <w:tr w:rsidR="004B6470" w:rsidRPr="004B6470" w:rsidTr="004C38EC">
        <w:trPr>
          <w:cantSplit/>
        </w:trPr>
        <w:tc>
          <w:tcPr>
            <w:tcW w:w="694" w:type="dxa"/>
            <w:tcBorders>
              <w:top w:val="nil"/>
              <w:left w:val="nil"/>
              <w:bottom w:val="nil"/>
              <w:right w:val="nil"/>
            </w:tcBorders>
          </w:tcPr>
          <w:p w:rsidR="004B6470" w:rsidRPr="004B6470" w:rsidRDefault="004B6470" w:rsidP="004B6470">
            <w:pPr>
              <w:spacing w:after="0" w:line="240" w:lineRule="auto"/>
              <w:jc w:val="center"/>
              <w:rPr>
                <w:rFonts w:ascii="Trebuchet MS" w:eastAsia="Times New Roman" w:hAnsi="Trebuchet MS" w:cs="Times New Roman"/>
                <w:sz w:val="24"/>
              </w:rPr>
            </w:pPr>
          </w:p>
        </w:tc>
        <w:tc>
          <w:tcPr>
            <w:tcW w:w="5245" w:type="dxa"/>
            <w:tcBorders>
              <w:top w:val="nil"/>
              <w:left w:val="nil"/>
              <w:bottom w:val="nil"/>
              <w:right w:val="single" w:sz="12" w:space="0" w:color="auto"/>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p>
        </w:tc>
        <w:tc>
          <w:tcPr>
            <w:tcW w:w="2835" w:type="dxa"/>
            <w:gridSpan w:val="2"/>
            <w:tcBorders>
              <w:top w:val="single" w:sz="4" w:space="0" w:color="auto"/>
              <w:left w:val="single" w:sz="12" w:space="0" w:color="auto"/>
              <w:bottom w:val="single" w:sz="4" w:space="0" w:color="auto"/>
              <w:right w:val="single" w:sz="4" w:space="0" w:color="auto"/>
            </w:tcBorders>
          </w:tcPr>
          <w:p w:rsidR="004B6470" w:rsidRPr="004B6470" w:rsidRDefault="004B6470" w:rsidP="004B6470">
            <w:pPr>
              <w:spacing w:after="0" w:line="240" w:lineRule="auto"/>
              <w:jc w:val="right"/>
              <w:rPr>
                <w:rFonts w:ascii="Trebuchet MS" w:eastAsia="Times New Roman" w:hAnsi="Trebuchet MS" w:cs="Times New Roman"/>
                <w:b/>
                <w:sz w:val="24"/>
              </w:rPr>
            </w:pPr>
            <w:r w:rsidRPr="004B6470">
              <w:rPr>
                <w:rFonts w:ascii="Trebuchet MS" w:eastAsia="Times New Roman" w:hAnsi="Trebuchet MS" w:cs="Times New Roman"/>
                <w:b/>
                <w:sz w:val="24"/>
              </w:rPr>
              <w:t>PVM:</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4B6470" w:rsidRPr="004B6470" w:rsidRDefault="004B6470" w:rsidP="004B6470">
            <w:pPr>
              <w:spacing w:after="0" w:line="240" w:lineRule="auto"/>
              <w:jc w:val="center"/>
              <w:rPr>
                <w:rFonts w:ascii="Trebuchet MS" w:eastAsia="Times New Roman" w:hAnsi="Trebuchet MS" w:cs="Times New Roman"/>
              </w:rPr>
            </w:pPr>
            <w:r w:rsidRPr="004B6470">
              <w:rPr>
                <w:rFonts w:ascii="Trebuchet MS" w:eastAsia="Times New Roman" w:hAnsi="Trebuchet MS" w:cs="Times New Roman"/>
              </w:rPr>
              <w:t>39738,33</w:t>
            </w:r>
          </w:p>
        </w:tc>
      </w:tr>
      <w:tr w:rsidR="004B6470" w:rsidRPr="004B6470" w:rsidTr="004C38EC">
        <w:trPr>
          <w:cantSplit/>
        </w:trPr>
        <w:tc>
          <w:tcPr>
            <w:tcW w:w="694" w:type="dxa"/>
            <w:tcBorders>
              <w:top w:val="nil"/>
              <w:left w:val="nil"/>
              <w:bottom w:val="nil"/>
              <w:right w:val="nil"/>
            </w:tcBorders>
          </w:tcPr>
          <w:p w:rsidR="004B6470" w:rsidRPr="004B6470" w:rsidRDefault="004B6470" w:rsidP="004B6470">
            <w:pPr>
              <w:spacing w:after="0" w:line="240" w:lineRule="auto"/>
              <w:jc w:val="center"/>
              <w:rPr>
                <w:rFonts w:ascii="Trebuchet MS" w:eastAsia="Times New Roman" w:hAnsi="Trebuchet MS" w:cs="Times New Roman"/>
                <w:sz w:val="24"/>
              </w:rPr>
            </w:pPr>
          </w:p>
        </w:tc>
        <w:tc>
          <w:tcPr>
            <w:tcW w:w="5245" w:type="dxa"/>
            <w:tcBorders>
              <w:top w:val="nil"/>
              <w:left w:val="nil"/>
              <w:bottom w:val="nil"/>
              <w:right w:val="single" w:sz="4" w:space="0" w:color="auto"/>
            </w:tcBorders>
          </w:tcPr>
          <w:p w:rsidR="004B6470" w:rsidRPr="004B6470" w:rsidRDefault="004B6470" w:rsidP="004B6470">
            <w:pPr>
              <w:spacing w:after="0" w:line="240" w:lineRule="auto"/>
              <w:rPr>
                <w:rFonts w:ascii="Trebuchet MS" w:eastAsia="Times New Roman" w:hAnsi="Trebuchet MS" w:cs="Times New Roman"/>
                <w:color w:val="00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4B6470" w:rsidRPr="004B6470" w:rsidRDefault="004B6470" w:rsidP="004B6470">
            <w:pPr>
              <w:spacing w:after="0" w:line="240" w:lineRule="auto"/>
              <w:jc w:val="right"/>
              <w:rPr>
                <w:rFonts w:ascii="Trebuchet MS" w:eastAsia="Times New Roman" w:hAnsi="Trebuchet MS" w:cs="Times New Roman"/>
                <w:b/>
                <w:sz w:val="24"/>
              </w:rPr>
            </w:pPr>
            <w:r w:rsidRPr="004B6470">
              <w:rPr>
                <w:rFonts w:ascii="Trebuchet MS" w:eastAsia="Times New Roman" w:hAnsi="Trebuchet MS" w:cs="Times New Roman"/>
                <w:b/>
                <w:sz w:val="24"/>
              </w:rPr>
              <w:t>PASLAUGOS kaina eurais su PVM: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470" w:rsidRPr="004B6470" w:rsidRDefault="004B6470" w:rsidP="004B6470">
            <w:pPr>
              <w:spacing w:after="0" w:line="240" w:lineRule="auto"/>
              <w:jc w:val="center"/>
              <w:rPr>
                <w:rFonts w:ascii="Trebuchet MS" w:eastAsia="Times New Roman" w:hAnsi="Trebuchet MS" w:cs="Times New Roman"/>
              </w:rPr>
            </w:pPr>
            <w:r w:rsidRPr="004B6470">
              <w:rPr>
                <w:rFonts w:ascii="Trebuchet MS" w:eastAsia="Times New Roman" w:hAnsi="Trebuchet MS" w:cs="Times New Roman"/>
              </w:rPr>
              <w:t>228968,51</w:t>
            </w:r>
          </w:p>
        </w:tc>
      </w:tr>
    </w:tbl>
    <w:p w:rsidR="00FE103A" w:rsidRDefault="00FE103A" w:rsidP="004B6470">
      <w:pPr>
        <w:tabs>
          <w:tab w:val="num" w:pos="1283"/>
        </w:tabs>
        <w:spacing w:after="0" w:line="240" w:lineRule="auto"/>
        <w:ind w:left="567"/>
        <w:jc w:val="both"/>
        <w:rPr>
          <w:rFonts w:ascii="Trebuchet MS" w:eastAsia="Times New Roman" w:hAnsi="Trebuchet MS" w:cs="Times New Roman"/>
        </w:rPr>
      </w:pP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bookmarkStart w:id="2" w:name="_Ref116377747"/>
      <w:r w:rsidRPr="00FE103A">
        <w:rPr>
          <w:rFonts w:ascii="Trebuchet MS" w:eastAsia="Times New Roman" w:hAnsi="Trebuchet MS" w:cs="Times New Roman"/>
        </w:rPr>
        <w:t>SUTARTYJE minimas apmokėjimas įvykdomas atitinkamą sumą pervedus į SUTARTYJE nurodytą TIEKĖJO sąskaitą.</w:t>
      </w:r>
      <w:bookmarkEnd w:id="2"/>
    </w:p>
    <w:p w:rsidR="00FE103A" w:rsidRPr="00006C0B"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006C0B">
        <w:rPr>
          <w:rFonts w:ascii="Trebuchet MS" w:eastAsia="Times New Roman" w:hAnsi="Trebuchet MS" w:cs="Times New Roman"/>
        </w:rPr>
        <w:t xml:space="preserve">Visos </w:t>
      </w:r>
      <w:r w:rsidRPr="00006C0B">
        <w:rPr>
          <w:rFonts w:ascii="Trebuchet MS" w:eastAsia="Times New Roman" w:hAnsi="Trebuchet MS" w:cs="Times New Roman"/>
          <w:bCs/>
        </w:rPr>
        <w:t>SUTARTYJE</w:t>
      </w:r>
      <w:r w:rsidRPr="00006C0B">
        <w:rPr>
          <w:rFonts w:ascii="Trebuchet MS" w:eastAsia="Times New Roman" w:hAnsi="Trebuchet MS" w:cs="Times New Roman"/>
        </w:rPr>
        <w:t xml:space="preserve"> numatytos sumos ir mokėjimai yra apskaičiuojami ir atliekami eurais.</w:t>
      </w:r>
    </w:p>
    <w:p w:rsidR="00FE103A" w:rsidRPr="00071B05" w:rsidRDefault="00FE103A" w:rsidP="00071B05">
      <w:pPr>
        <w:numPr>
          <w:ilvl w:val="1"/>
          <w:numId w:val="4"/>
        </w:numPr>
        <w:tabs>
          <w:tab w:val="num" w:pos="1080"/>
        </w:tabs>
        <w:spacing w:after="0" w:line="240" w:lineRule="auto"/>
        <w:ind w:left="0" w:firstLine="567"/>
        <w:jc w:val="both"/>
        <w:rPr>
          <w:rFonts w:ascii="Trebuchet MS" w:eastAsia="Times New Roman" w:hAnsi="Trebuchet MS" w:cs="Times New Roman"/>
        </w:rPr>
      </w:pPr>
      <w:r w:rsidRPr="00006C0B">
        <w:rPr>
          <w:rFonts w:ascii="Trebuchet MS" w:eastAsia="Times New Roman" w:hAnsi="Trebuchet MS" w:cs="Times New Roman"/>
        </w:rPr>
        <w:t xml:space="preserve"> Pagrindas </w:t>
      </w:r>
      <w:r w:rsidR="00071B05">
        <w:rPr>
          <w:rFonts w:ascii="Trebuchet MS" w:eastAsia="Times New Roman" w:hAnsi="Trebuchet MS" w:cs="Times New Roman"/>
        </w:rPr>
        <w:t>pateikti PVM sąskaitą faktūrą</w:t>
      </w:r>
      <w:r w:rsidRPr="00006C0B">
        <w:rPr>
          <w:rFonts w:ascii="Trebuchet MS" w:eastAsia="Times New Roman" w:hAnsi="Trebuchet MS" w:cs="Times New Roman"/>
        </w:rPr>
        <w:t xml:space="preserve"> atsiranda tik tada, kai visi TIEKĖJO įsipareigojimai, susiję su PASLAUGOS ATLIKIMO įvykdymu, yra tinkamai įvykdyti. Laikoma, kad PASLAUGA atliekama netinkamai, ir yra netinkamos kokybės, kai ji neatitinka KONKURSO DOKUMENTŲ reikalavimų ir neturi savybių, kurios būtinos PASLAUGAI, kad ją būtų galima naudoti pagal įprastinę ir specialią paskirtį.</w:t>
      </w:r>
    </w:p>
    <w:bookmarkEnd w:id="0"/>
    <w:p w:rsidR="00FE103A" w:rsidRPr="00006C0B"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006C0B">
        <w:rPr>
          <w:rFonts w:ascii="Trebuchet MS" w:eastAsia="Times New Roman" w:hAnsi="Trebuchet MS" w:cs="Times New Roman"/>
          <w:b/>
          <w:bCs/>
        </w:rPr>
        <w:t>PASLAUGOS ATLIKIMAS</w:t>
      </w:r>
    </w:p>
    <w:p w:rsidR="00FE103A" w:rsidRPr="00FE103A" w:rsidRDefault="00FE103A" w:rsidP="004D6514">
      <w:pPr>
        <w:numPr>
          <w:ilvl w:val="1"/>
          <w:numId w:val="4"/>
        </w:numPr>
        <w:tabs>
          <w:tab w:val="num" w:pos="1080"/>
        </w:tabs>
        <w:spacing w:after="0" w:line="240" w:lineRule="auto"/>
        <w:ind w:left="0" w:firstLine="567"/>
        <w:jc w:val="both"/>
        <w:rPr>
          <w:rFonts w:ascii="Trebuchet MS" w:eastAsia="Times New Roman" w:hAnsi="Trebuchet MS" w:cs="Times New Roman"/>
        </w:rPr>
      </w:pPr>
      <w:r w:rsidRPr="00006C0B">
        <w:rPr>
          <w:rFonts w:ascii="Trebuchet MS" w:eastAsia="Times New Roman" w:hAnsi="Trebuchet MS" w:cs="Times New Roman"/>
        </w:rPr>
        <w:t>Visi KONKURSO DOKUMENTUOSE numatyti reikalavimai (visos sąlygos</w:t>
      </w:r>
      <w:r w:rsidRPr="00FE103A">
        <w:rPr>
          <w:rFonts w:ascii="Trebuchet MS" w:eastAsia="Times New Roman" w:hAnsi="Trebuchet MS" w:cs="Times New Roman"/>
        </w:rPr>
        <w:t>), susiję su PASLAUGOS ATLIKIMU, SUTARTYJE tampa TIEKĖJO įsipareigojimais.</w:t>
      </w:r>
    </w:p>
    <w:p w:rsidR="00FE103A" w:rsidRDefault="00FE103A" w:rsidP="004D6514">
      <w:pPr>
        <w:numPr>
          <w:ilvl w:val="1"/>
          <w:numId w:val="4"/>
        </w:numPr>
        <w:tabs>
          <w:tab w:val="clear" w:pos="1283"/>
          <w:tab w:val="num" w:pos="1080"/>
          <w:tab w:val="num" w:pos="1152"/>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PASLAUGOS kokybė turi atitikti REIKALAVIMUS ir Civilinio kodekso nuostatas.</w:t>
      </w:r>
    </w:p>
    <w:p w:rsidR="00E56779" w:rsidRPr="004D6514" w:rsidRDefault="00E56779" w:rsidP="004D6514">
      <w:pPr>
        <w:numPr>
          <w:ilvl w:val="1"/>
          <w:numId w:val="4"/>
        </w:numPr>
        <w:tabs>
          <w:tab w:val="clear" w:pos="1283"/>
          <w:tab w:val="num" w:pos="1080"/>
          <w:tab w:val="num" w:pos="1152"/>
        </w:tabs>
        <w:spacing w:after="0" w:line="240" w:lineRule="auto"/>
        <w:ind w:left="0" w:firstLine="567"/>
        <w:jc w:val="both"/>
        <w:rPr>
          <w:rFonts w:ascii="Trebuchet MS" w:eastAsia="Times New Roman" w:hAnsi="Trebuchet MS" w:cs="Times New Roman"/>
        </w:rPr>
      </w:pPr>
      <w:r w:rsidRPr="00604902">
        <w:rPr>
          <w:rFonts w:ascii="Trebuchet MS" w:hAnsi="Trebuchet MS"/>
        </w:rPr>
        <w:t>UŽSAKOVO nuosavybės teisė kiekvienam PASLAUGOS atlikimo rezultato elementui, kuris pagal Civilinį kodeksą yra nuosavybės teisių objektas, atsiranda nuo to momento, kai TIEKĖJAS tokį PASLAUGOS atlikimo rezultato elementą perduoda UŽSAKOVUI</w:t>
      </w:r>
    </w:p>
    <w:p w:rsidR="00FE103A" w:rsidRPr="00071B05" w:rsidRDefault="00FE103A" w:rsidP="00071B05">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FE103A">
        <w:rPr>
          <w:rFonts w:ascii="Trebuchet MS" w:eastAsia="Times New Roman" w:hAnsi="Trebuchet MS" w:cs="Times New Roman"/>
          <w:b/>
          <w:bCs/>
        </w:rPr>
        <w:t>ŠALIŲ ATSAKOMYBĖ</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ŠALYS privalo susilaikyti nuo bet kokių veiksmų, kurie galėtų pakenkti kitai ŠALIAI. Jei viena iš ŠALIŲ neįvykdo arba netinkamai įvykdo SUTARTYJE numatytus įsipareigojimus, kaltoji ŠALIS turi atlyginti SUTARTIES sąlygų nevykdymu ar netinkamu vykdymu kitai ŠALIAI jos patirtus nuostolius.</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color w:val="000000"/>
        </w:rPr>
      </w:pPr>
      <w:r w:rsidRPr="00FE103A">
        <w:rPr>
          <w:rFonts w:ascii="Trebuchet MS" w:eastAsia="Times New Roman" w:hAnsi="Trebuchet MS" w:cs="Times New Roman"/>
        </w:rPr>
        <w:lastRenderedPageBreak/>
        <w:t>Už UŽSAKOVO vėlavimą atsiskaityti su TIEKĖJU numatomi delspinigiai − 0,0</w:t>
      </w:r>
      <w:r w:rsidR="00E56779">
        <w:rPr>
          <w:rFonts w:ascii="Trebuchet MS" w:eastAsia="Times New Roman" w:hAnsi="Trebuchet MS" w:cs="Times New Roman"/>
        </w:rPr>
        <w:t>6</w:t>
      </w:r>
      <w:r w:rsidRPr="00FE103A">
        <w:rPr>
          <w:rFonts w:ascii="Trebuchet MS" w:eastAsia="Times New Roman" w:hAnsi="Trebuchet MS" w:cs="Times New Roman"/>
        </w:rPr>
        <w:t xml:space="preserve"> procento nuo vėluojamos apmokėti sumos, už kiekvieną pavėluotą dieną, bet ne daugiau kaip 5 procentai nuo SUTARTIES vertės.</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Už TIEKĖJO vėlavimą atlikti sutartinius įsipareigojimus numatomi delspinigiai − 0,0</w:t>
      </w:r>
      <w:r w:rsidR="00E56779">
        <w:rPr>
          <w:rFonts w:ascii="Trebuchet MS" w:eastAsia="Times New Roman" w:hAnsi="Trebuchet MS" w:cs="Times New Roman"/>
        </w:rPr>
        <w:t>6</w:t>
      </w:r>
      <w:r w:rsidRPr="00FE103A">
        <w:rPr>
          <w:rFonts w:ascii="Trebuchet MS" w:eastAsia="Times New Roman" w:hAnsi="Trebuchet MS" w:cs="Times New Roman"/>
        </w:rPr>
        <w:t xml:space="preserve"> procento nuo vėluojamų atlikti sutartinių įsipareigojimų vertės, už kiekvieną pavėluotą dieną, bet ne daugiau kaip 5 procentai nuo SUTARTIES vertės.</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color w:val="000000"/>
        </w:rPr>
      </w:pPr>
      <w:r w:rsidRPr="00FE103A">
        <w:rPr>
          <w:rFonts w:ascii="Trebuchet MS" w:eastAsia="Times New Roman" w:hAnsi="Trebuchet MS" w:cs="Times New Roman"/>
        </w:rPr>
        <w:t>Jeigu</w:t>
      </w:r>
      <w:r w:rsidRPr="00FE103A">
        <w:rPr>
          <w:rFonts w:ascii="Trebuchet MS" w:eastAsia="Times New Roman" w:hAnsi="Trebuchet MS" w:cs="Times New Roman"/>
          <w:color w:val="000000"/>
        </w:rPr>
        <w:t xml:space="preserve"> naudojimosi PASLAUGOS rezultatu metu paaiškės, kad UŽSAKOVUI atitenkanti TIEKĖJO perduota dokumentacija yra nevisa, ir jos nepakanka, kad būtų galima įvykdyti kokį nors iš REIKALAVIMUOSE numatytų tikslų, su tuo susijusius UŽSAKOVO nuostolius atlygina TIEKĖJAS</w:t>
      </w:r>
      <w:r w:rsidRPr="00FE103A">
        <w:rPr>
          <w:rFonts w:ascii="Trebuchet MS" w:eastAsia="Times New Roman" w:hAnsi="Trebuchet MS" w:cs="Times New Roman"/>
        </w:rPr>
        <w:t>.</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color w:val="000000"/>
        </w:rPr>
      </w:pPr>
      <w:r w:rsidRPr="00FE103A">
        <w:rPr>
          <w:rFonts w:ascii="Trebuchet MS" w:eastAsia="Times New Roman" w:hAnsi="Trebuchet MS" w:cs="Times New Roman"/>
        </w:rPr>
        <w:t>Delspinigių/baudų</w:t>
      </w:r>
      <w:r w:rsidRPr="00FE103A">
        <w:rPr>
          <w:rFonts w:ascii="Trebuchet MS" w:eastAsia="Times New Roman" w:hAnsi="Trebuchet MS" w:cs="Times New Roman"/>
          <w:color w:val="000000"/>
        </w:rPr>
        <w:t xml:space="preserve"> sumokėjimas neatleidžia ŠALIES nuo pareigos atlyginti nuostolius ir nuo SUTARTIES įsipareigojimų vykdymo.</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color w:val="000000"/>
        </w:rPr>
        <w:t xml:space="preserve"> </w:t>
      </w:r>
      <w:r w:rsidRPr="00FE103A">
        <w:rPr>
          <w:rFonts w:ascii="Trebuchet MS" w:eastAsia="Times New Roman" w:hAnsi="Trebuchet MS" w:cs="Times New Roman"/>
        </w:rPr>
        <w:t>TIEKĖJUI</w:t>
      </w:r>
      <w:r w:rsidRPr="00FE103A">
        <w:rPr>
          <w:rFonts w:ascii="Trebuchet MS" w:eastAsia="Times New Roman" w:hAnsi="Trebuchet MS" w:cs="Times New Roman"/>
          <w:color w:val="000000"/>
        </w:rPr>
        <w:t xml:space="preserve"> pagal SUTARTĮ pritaikytų sankcijų sumos gali būti dengiamos iš TIEKĖJUI pagal SUTARTĮ priklausančių gauti sumų.</w:t>
      </w:r>
    </w:p>
    <w:p w:rsidR="00FE103A" w:rsidRPr="00FE103A"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FE103A">
        <w:rPr>
          <w:rFonts w:ascii="Trebuchet MS" w:eastAsia="Times New Roman" w:hAnsi="Trebuchet MS" w:cs="Times New Roman"/>
          <w:b/>
          <w:bCs/>
        </w:rPr>
        <w:t>SUTARTIES GALIOJIMAS, PAKEITIMAS IR NUTRAUKIMAS</w:t>
      </w:r>
    </w:p>
    <w:p w:rsidR="004D6514" w:rsidRPr="007D36BC" w:rsidRDefault="004D6514" w:rsidP="004D6514">
      <w:pPr>
        <w:pStyle w:val="0Punktai"/>
        <w:numPr>
          <w:ilvl w:val="1"/>
          <w:numId w:val="4"/>
        </w:numPr>
        <w:tabs>
          <w:tab w:val="clear" w:pos="1283"/>
          <w:tab w:val="num" w:pos="1080"/>
        </w:tabs>
        <w:ind w:left="0" w:firstLine="540"/>
        <w:rPr>
          <w:rFonts w:ascii="Trebuchet MS" w:hAnsi="Trebuchet MS"/>
          <w:sz w:val="22"/>
          <w:szCs w:val="22"/>
        </w:rPr>
      </w:pPr>
      <w:r w:rsidRPr="007D36BC">
        <w:rPr>
          <w:rStyle w:val="FontStyle17"/>
        </w:rPr>
        <w:t>SUTARTIS įsigalioja nuo jos pasirašymo dienos ir galioja iki pilno ŠALIŲ įsipareigojimų įvykdymo</w:t>
      </w:r>
      <w:r w:rsidR="00BB592C">
        <w:rPr>
          <w:rFonts w:ascii="Trebuchet MS" w:hAnsi="Trebuchet MS"/>
          <w:sz w:val="22"/>
          <w:szCs w:val="22"/>
        </w:rPr>
        <w:t>, bet ne ilgiau kaip 20 mėnesių.</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Jeigu TIEKĖJAS netinkamai vykdo SUTARTĮ, UŽSAKOVAS gali ją nutraukti įspėjęs TIEKĖJĄ prieš 10 kalendorinių dienų.</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UŽSAKOVAS turi teisę nutraukti SUTARTĮ, jeigu TIEKĖJAS SUTARTIES galiojimo laikotarpiu pagal galiojančius teisės aktus praranda teisę užsiimti ūkine komercine ar kitokia, būtina PASLAUGOS ATLIKIMUI, veikla.</w:t>
      </w:r>
    </w:p>
    <w:p w:rsidR="00FE103A" w:rsidRPr="00FE103A"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Jei TIEKĖJAS neįvykdo arba netinkamai įvykdo SUTARTYJE numatytus įsipareigojimus, UŽSAKOVAS turi teisę pareikalauti atlyginti SUTARTIES sąlygų nevykdymu ar netinkamu vykdymu jam padarytus nuostolius.</w:t>
      </w:r>
    </w:p>
    <w:p w:rsidR="00FE103A" w:rsidRPr="000C61F4"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Jeigu TIEKĖJAS savo iniciatyva anksčiau laiko nori nutraukti SUTARTĮ, TIEKĖJAS gali ją nutraukti tik raštu įspėjęs UŽSAKOVĄ prieš 10 kalendorinių dienų. TIEKĖJAS taip pat įsipareigoja per 5 darbo dienas nuo UŽSAKOVO </w:t>
      </w:r>
      <w:r w:rsidRPr="000C61F4">
        <w:rPr>
          <w:rFonts w:ascii="Trebuchet MS" w:eastAsia="Times New Roman" w:hAnsi="Trebuchet MS" w:cs="Times New Roman"/>
        </w:rPr>
        <w:t>reikalavimo kompensuoti UŽSAKOVUI visus nuostolius, atsiradusius dėl tokio SUTARTIES nutraukimo.</w:t>
      </w:r>
    </w:p>
    <w:p w:rsidR="00FE103A" w:rsidRPr="00C139CE" w:rsidRDefault="00FE103A" w:rsidP="00FE103A">
      <w:pPr>
        <w:numPr>
          <w:ilvl w:val="1"/>
          <w:numId w:val="4"/>
        </w:numPr>
        <w:tabs>
          <w:tab w:val="left" w:pos="360"/>
          <w:tab w:val="num" w:pos="1080"/>
        </w:tabs>
        <w:spacing w:after="0" w:line="240" w:lineRule="auto"/>
        <w:ind w:left="0" w:firstLine="567"/>
        <w:jc w:val="both"/>
        <w:rPr>
          <w:rFonts w:ascii="Trebuchet MS" w:eastAsia="Times New Roman" w:hAnsi="Trebuchet MS" w:cs="Times New Roman"/>
        </w:rPr>
      </w:pPr>
      <w:r w:rsidRPr="000C61F4">
        <w:rPr>
          <w:rFonts w:ascii="Trebuchet MS" w:eastAsia="Times New Roman" w:hAnsi="Trebuchet MS" w:cs="Times New Roman"/>
        </w:rPr>
        <w:t xml:space="preserve">Jeigu UŽSAKOVAS savo iniciatyva anksčiau laiko nori nutraukti SUTARTĮ, UŽSAKOVAS gali ją nutraukti </w:t>
      </w:r>
      <w:r w:rsidRPr="00C139CE">
        <w:rPr>
          <w:rFonts w:ascii="Trebuchet MS" w:eastAsia="Times New Roman" w:hAnsi="Trebuchet MS" w:cs="Times New Roman"/>
        </w:rPr>
        <w:t xml:space="preserve">raštu įspėjęs TIEKĖJĄ prieš 10 kalendorinių dienų. </w:t>
      </w:r>
    </w:p>
    <w:p w:rsidR="00FE103A" w:rsidRPr="00C139CE" w:rsidRDefault="00FE103A" w:rsidP="00FE103A">
      <w:pPr>
        <w:numPr>
          <w:ilvl w:val="1"/>
          <w:numId w:val="4"/>
        </w:numPr>
        <w:tabs>
          <w:tab w:val="num" w:pos="0"/>
          <w:tab w:val="left" w:pos="360"/>
          <w:tab w:val="left" w:pos="1134"/>
        </w:tabs>
        <w:spacing w:after="0" w:line="240" w:lineRule="auto"/>
        <w:ind w:left="0" w:firstLine="567"/>
        <w:jc w:val="both"/>
        <w:rPr>
          <w:rFonts w:ascii="Trebuchet MS" w:eastAsia="Times New Roman" w:hAnsi="Trebuchet MS" w:cs="Times New Roman"/>
        </w:rPr>
      </w:pPr>
      <w:r w:rsidRPr="00C139CE">
        <w:rPr>
          <w:rFonts w:ascii="Trebuchet MS" w:eastAsia="Times New Roman" w:hAnsi="Trebuchet MS" w:cs="Times New Roman"/>
        </w:rPr>
        <w:t>SUTARTIES sąlygos SUTARTIES galiojimo laikotarpiu negali būti keičiamos, išskyrus Viešųjų pirkimų įstatymo 89 straipsnyje numatytus atvejus ir tokias SUTARTIES sąlygas, kurias pakeitus nebūtų pažeisti Viešųjų pirkimų įstatyme nustatyti principai ir tikslai.</w:t>
      </w:r>
    </w:p>
    <w:p w:rsidR="00FE103A" w:rsidRPr="000C61F4" w:rsidRDefault="00FE103A" w:rsidP="00FE103A">
      <w:pPr>
        <w:numPr>
          <w:ilvl w:val="1"/>
          <w:numId w:val="4"/>
        </w:numPr>
        <w:tabs>
          <w:tab w:val="num" w:pos="0"/>
          <w:tab w:val="left" w:pos="360"/>
          <w:tab w:val="left" w:pos="1134"/>
        </w:tabs>
        <w:spacing w:after="0" w:line="240" w:lineRule="auto"/>
        <w:ind w:left="0" w:firstLine="567"/>
        <w:jc w:val="both"/>
        <w:rPr>
          <w:rFonts w:ascii="Trebuchet MS" w:eastAsia="Times New Roman" w:hAnsi="Trebuchet MS" w:cs="Times New Roman"/>
        </w:rPr>
      </w:pPr>
      <w:r w:rsidRPr="00C139CE">
        <w:rPr>
          <w:rFonts w:ascii="Trebuchet MS" w:eastAsia="Times New Roman" w:hAnsi="Trebuchet MS" w:cs="Times New Roman"/>
        </w:rPr>
        <w:t>Visi SUTARTIES pakeitimai, papildymai ir priedai galioja, jeigu jie yra sudaryti r</w:t>
      </w:r>
      <w:r w:rsidRPr="000C61F4">
        <w:rPr>
          <w:rFonts w:ascii="Trebuchet MS" w:eastAsia="Times New Roman" w:hAnsi="Trebuchet MS" w:cs="Times New Roman"/>
        </w:rPr>
        <w:t>aštu ir patvirtinti abiejų ŠALIŲ įgaliotų atstovų parašais. Visi SUTARTIES pakeitimai, papildymai ir priedai sudaryti raštu ir patvirtinti abiejų ŠALIŲ įgaliotų atstovų parašais tampa sudėtinėmis ir neatskiriamomis SUTARTIES dalimis.</w:t>
      </w:r>
    </w:p>
    <w:p w:rsidR="00FE103A" w:rsidRPr="000C61F4" w:rsidRDefault="00FE103A" w:rsidP="00FE103A">
      <w:pPr>
        <w:numPr>
          <w:ilvl w:val="1"/>
          <w:numId w:val="4"/>
        </w:numPr>
        <w:tabs>
          <w:tab w:val="num" w:pos="0"/>
          <w:tab w:val="left" w:pos="360"/>
          <w:tab w:val="left" w:pos="1134"/>
        </w:tabs>
        <w:spacing w:after="0" w:line="240" w:lineRule="auto"/>
        <w:ind w:left="0" w:firstLine="567"/>
        <w:jc w:val="both"/>
        <w:rPr>
          <w:rFonts w:ascii="Trebuchet MS" w:eastAsia="Times New Roman" w:hAnsi="Trebuchet MS" w:cs="Times New Roman"/>
        </w:rPr>
      </w:pPr>
      <w:r w:rsidRPr="000C61F4">
        <w:rPr>
          <w:rFonts w:ascii="Trebuchet MS" w:eastAsia="Times New Roman" w:hAnsi="Trebuchet MS" w:cs="Times New Roman"/>
        </w:rPr>
        <w:t>UŽSAKOVAS pasilieka sau teisę atsisakyti visos PASLAUGOS ar PASLAUGOS dalies, jeigu jis neturės pakankamo, nuo jo nepriklausančio finansavimo (UŽSAKOVAS yra iš Lietuvos Respublikos biudžeto finansuojama, Lietuvos Respublikos mokesčių administratoriaus funkcijas atliekanti įstaiga), arba PASLAUGOS ar PASLAUGOS dalies nereikės vykdant mokesčių administratoriaus funkcijas, arba dėl kitų priežasčių. Tokio atsisakymo atveju UŽSAKOVAS apmoka TIEKĖJUI už iki atsisakymo faktiškai atliktą PASLAUGOS dalį.</w:t>
      </w:r>
    </w:p>
    <w:p w:rsidR="00FE103A" w:rsidRPr="00FE103A"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rPr>
      </w:pPr>
      <w:r w:rsidRPr="000C61F4">
        <w:rPr>
          <w:rFonts w:ascii="Trebuchet MS" w:eastAsia="Times New Roman" w:hAnsi="Trebuchet MS" w:cs="Times New Roman"/>
          <w:b/>
        </w:rPr>
        <w:t>NENUGALIMOS JĖGOS APLINKYBĖS (FORCE MAJEURE</w:t>
      </w:r>
      <w:r w:rsidRPr="00FE103A">
        <w:rPr>
          <w:rFonts w:ascii="Trebuchet MS" w:eastAsia="Times New Roman" w:hAnsi="Trebuchet MS" w:cs="Times New Roman"/>
          <w:b/>
        </w:rPr>
        <w:t>)</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Nė viena iš SUTARTIES ŠALIŲ neatsako už prisiimtų įsipareigojimų visišką ar dalinį neįvykdymą, jeigu ji įrodo, kad įsipareigojimų neįvykdė dėl nenugalimos jėgos aplinkybių (Force Majeure).</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ŠALIS, kuri dėl nenugalimos jėgos aplinkybių negali įvykdyti savo įsipareigojimų, privalo nedelsdama, bet ne vėliau kaip per 5 dienas nuo aplinkybių atsiradimo ar paaiškėjimo, raštu informuoti apie tai kitą ŠALĮ. Jeigu nenugalimos jėgos aplinkybės užsitęsia ilgiau kaip vieną mėnesį, bet kuri </w:t>
      </w:r>
      <w:r w:rsidRPr="00FE103A">
        <w:rPr>
          <w:rFonts w:ascii="Trebuchet MS" w:eastAsia="Times New Roman" w:hAnsi="Trebuchet MS" w:cs="Times New Roman"/>
          <w:bCs/>
        </w:rPr>
        <w:t>ŠALIS</w:t>
      </w:r>
      <w:r w:rsidRPr="00FE103A">
        <w:rPr>
          <w:rFonts w:ascii="Trebuchet MS" w:eastAsia="Times New Roman" w:hAnsi="Trebuchet MS" w:cs="Times New Roman"/>
        </w:rPr>
        <w:t xml:space="preserve">, pranešusi kitai </w:t>
      </w:r>
      <w:r w:rsidRPr="00FE103A">
        <w:rPr>
          <w:rFonts w:ascii="Trebuchet MS" w:eastAsia="Times New Roman" w:hAnsi="Trebuchet MS" w:cs="Times New Roman"/>
          <w:bCs/>
        </w:rPr>
        <w:t>ŠALIAI</w:t>
      </w:r>
      <w:r w:rsidRPr="00FE103A">
        <w:rPr>
          <w:rFonts w:ascii="Trebuchet MS" w:eastAsia="Times New Roman" w:hAnsi="Trebuchet MS" w:cs="Times New Roman"/>
        </w:rPr>
        <w:t xml:space="preserve"> raštu, turi teisę nutraukti </w:t>
      </w:r>
      <w:r w:rsidRPr="00FE103A">
        <w:rPr>
          <w:rFonts w:ascii="Trebuchet MS" w:eastAsia="Times New Roman" w:hAnsi="Trebuchet MS" w:cs="Times New Roman"/>
          <w:bCs/>
        </w:rPr>
        <w:t>SUTARTĮ</w:t>
      </w:r>
      <w:r w:rsidRPr="00FE103A">
        <w:rPr>
          <w:rFonts w:ascii="Trebuchet MS" w:eastAsia="Times New Roman" w:hAnsi="Trebuchet MS" w:cs="Times New Roman"/>
        </w:rPr>
        <w:t>.</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Nenugalimos jėgos aplinkybėmis yra laikomos aplinkybės, </w:t>
      </w:r>
      <w:r w:rsidRPr="00FE103A">
        <w:rPr>
          <w:rFonts w:ascii="Trebuchet MS" w:eastAsia="Times New Roman" w:hAnsi="Trebuchet MS" w:cs="Times New Roman"/>
          <w:color w:val="000000"/>
        </w:rPr>
        <w:t xml:space="preserve">apibrėžtos Civilinio kodekso 6.212 straipsnyje ir </w:t>
      </w:r>
      <w:r w:rsidRPr="00FE103A">
        <w:rPr>
          <w:rFonts w:ascii="Trebuchet MS" w:eastAsia="Times New Roman" w:hAnsi="Trebuchet MS" w:cs="Times New Roman"/>
        </w:rPr>
        <w:t xml:space="preserve">Atleidimo nuo atsakomybės esant nenugalimos jėgos aplinkybėms taisyklėse, patvirtintose Lietuvos Respublikos Vyriausybės </w:t>
      </w:r>
      <w:smartTag w:uri="urn:schemas-microsoft-com:office:smarttags" w:element="metricconverter">
        <w:smartTagPr>
          <w:attr w:name="ProductID" w:val="1996 m"/>
        </w:smartTagPr>
        <w:r w:rsidRPr="00FE103A">
          <w:rPr>
            <w:rFonts w:ascii="Trebuchet MS" w:eastAsia="Times New Roman" w:hAnsi="Trebuchet MS" w:cs="Times New Roman"/>
          </w:rPr>
          <w:t>1996 m</w:t>
        </w:r>
      </w:smartTag>
      <w:r w:rsidRPr="00FE103A">
        <w:rPr>
          <w:rFonts w:ascii="Trebuchet MS" w:eastAsia="Times New Roman" w:hAnsi="Trebuchet MS" w:cs="Times New Roman"/>
        </w:rPr>
        <w:t>. liepos 15 d. nutarimu Nr. 840 .</w:t>
      </w:r>
    </w:p>
    <w:p w:rsidR="00FE103A" w:rsidRPr="00FE103A" w:rsidRDefault="00FE103A" w:rsidP="00FE103A">
      <w:pPr>
        <w:numPr>
          <w:ilvl w:val="0"/>
          <w:numId w:val="4"/>
        </w:numPr>
        <w:tabs>
          <w:tab w:val="left" w:pos="284"/>
        </w:tabs>
        <w:spacing w:after="0" w:line="240" w:lineRule="auto"/>
        <w:ind w:left="0" w:firstLine="567"/>
        <w:jc w:val="center"/>
        <w:rPr>
          <w:rFonts w:ascii="Trebuchet MS" w:eastAsia="Times New Roman" w:hAnsi="Trebuchet MS" w:cs="Times New Roman"/>
          <w:b/>
          <w:bCs/>
        </w:rPr>
      </w:pPr>
      <w:r w:rsidRPr="00FE103A">
        <w:rPr>
          <w:rFonts w:ascii="Trebuchet MS" w:eastAsia="Times New Roman" w:hAnsi="Trebuchet MS" w:cs="Times New Roman"/>
          <w:b/>
        </w:rPr>
        <w:t>KITOS</w:t>
      </w:r>
      <w:r w:rsidRPr="00FE103A">
        <w:rPr>
          <w:rFonts w:ascii="Trebuchet MS" w:eastAsia="Times New Roman" w:hAnsi="Trebuchet MS" w:cs="Times New Roman"/>
          <w:b/>
          <w:bCs/>
        </w:rPr>
        <w:t xml:space="preserve"> NUOSTATOS</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SUTARTIES punktų pavadinimai nustatomosios galios neturi </w:t>
      </w:r>
      <w:r w:rsidRPr="00FE103A">
        <w:rPr>
          <w:rFonts w:ascii="Trebuchet MS" w:eastAsia="Times New Roman" w:hAnsi="Trebuchet MS" w:cs="Arial"/>
        </w:rPr>
        <w:t>−</w:t>
      </w:r>
      <w:r w:rsidRPr="00FE103A">
        <w:rPr>
          <w:rFonts w:ascii="Trebuchet MS" w:eastAsia="Times New Roman" w:hAnsi="Trebuchet MS" w:cs="Times New Roman"/>
        </w:rPr>
        <w:t xml:space="preserve"> jų tikslas yra tik palengvinti SUTARTIES nuostatų paiešką.</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lastRenderedPageBreak/>
        <w:t>SUTARTIS sudaryta Viešųjų pirkimų įstatymo ir Civilinio kodekso pagrindu. Visiems ginčams, kilusiems dėl SUTARTIES vykdymo, spręsti taikomi Lietuvos Respublikos norminiai teisės aktai.</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Visi ginčai, kylantys dėl SUTARTIES tarp ŠALIŲ, sprendžiami ŠALIŲ tarpusavio sutarimu, o nesutarus − Lietuvos Respublikos teisės aktų nustatyta tvarka.</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SUTARTIS sudaryta 2 egzemplioriais, turinčiais vienodą juridinę galią. Kiekvienai iš ŠALIŲ įteikiamas vienas SUTARTIES egzempliorius.</w:t>
      </w:r>
    </w:p>
    <w:p w:rsidR="00FE103A" w:rsidRPr="00FE103A" w:rsidRDefault="00FE103A" w:rsidP="00FE103A">
      <w:pPr>
        <w:numPr>
          <w:ilvl w:val="1"/>
          <w:numId w:val="4"/>
        </w:numPr>
        <w:tabs>
          <w:tab w:val="num" w:pos="1080"/>
        </w:tabs>
        <w:spacing w:after="0" w:line="240" w:lineRule="auto"/>
        <w:ind w:left="0" w:firstLine="567"/>
        <w:jc w:val="both"/>
        <w:rPr>
          <w:rFonts w:ascii="Trebuchet MS" w:eastAsia="Times New Roman" w:hAnsi="Trebuchet MS" w:cs="Times New Roman"/>
        </w:rPr>
      </w:pPr>
      <w:r w:rsidRPr="00FE103A">
        <w:rPr>
          <w:rFonts w:ascii="Trebuchet MS" w:eastAsia="Times New Roman" w:hAnsi="Trebuchet MS" w:cs="Times New Roman"/>
        </w:rPr>
        <w:t xml:space="preserve">Už SUTARTIES tinkamą vykdymą iš UŽSAKOVO pusės atsakingi – </w:t>
      </w:r>
      <w:r w:rsidR="00BB592C">
        <w:rPr>
          <w:rFonts w:ascii="Trebuchet MS" w:eastAsia="Times New Roman" w:hAnsi="Trebuchet MS" w:cs="Times New Roman"/>
        </w:rPr>
        <w:t>Ovidijus Gabrėnas ir Karolis Antanavičius.</w:t>
      </w:r>
    </w:p>
    <w:p w:rsidR="008C65FA" w:rsidRPr="00FE103A" w:rsidRDefault="008C65FA" w:rsidP="00FE103A">
      <w:pPr>
        <w:spacing w:after="0" w:line="240" w:lineRule="auto"/>
        <w:ind w:firstLine="567"/>
        <w:jc w:val="both"/>
        <w:rPr>
          <w:rFonts w:ascii="Trebuchet MS" w:hAnsi="Trebuchet MS"/>
          <w:color w:val="000000" w:themeColor="text1"/>
        </w:rPr>
      </w:pPr>
    </w:p>
    <w:sectPr w:rsidR="008C65FA" w:rsidRPr="00FE103A" w:rsidSect="00964B6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327"/>
    <w:multiLevelType w:val="multilevel"/>
    <w:tmpl w:val="286E7A6C"/>
    <w:lvl w:ilvl="0">
      <w:numFmt w:val="none"/>
      <w:pStyle w:val="0Punktai"/>
      <w:lvlText w:val=""/>
      <w:lvlJc w:val="left"/>
      <w:pPr>
        <w:tabs>
          <w:tab w:val="num" w:pos="360"/>
        </w:tabs>
      </w:pPr>
    </w:lvl>
    <w:lvl w:ilvl="1">
      <w:start w:val="1"/>
      <w:numFmt w:val="decimal"/>
      <w:pStyle w:val="00Punktai"/>
      <w:suff w:val="space"/>
      <w:lvlText w:val="%1.%2."/>
      <w:lvlJc w:val="left"/>
      <w:pPr>
        <w:ind w:left="0" w:firstLine="0"/>
      </w:pPr>
      <w:rPr>
        <w:color w:val="auto"/>
      </w:rPr>
    </w:lvl>
    <w:lvl w:ilvl="2">
      <w:start w:val="1"/>
      <w:numFmt w:val="decimal"/>
      <w:pStyle w:val="000Punktai"/>
      <w:suff w:val="space"/>
      <w:lvlText w:val="%1.%2.%3."/>
      <w:lvlJc w:val="left"/>
      <w:pPr>
        <w:ind w:left="0" w:firstLine="0"/>
      </w:pPr>
    </w:lvl>
    <w:lvl w:ilvl="3">
      <w:start w:val="1"/>
      <w:numFmt w:val="decimal"/>
      <w:pStyle w:val="0000Punktai"/>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860A41"/>
    <w:multiLevelType w:val="multilevel"/>
    <w:tmpl w:val="3F7854D0"/>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927"/>
        </w:tabs>
        <w:ind w:left="927" w:hanging="360"/>
      </w:pPr>
      <w:rPr>
        <w:rFonts w:hint="default"/>
        <w:color w:val="000000"/>
      </w:rPr>
    </w:lvl>
    <w:lvl w:ilvl="2">
      <w:start w:val="1"/>
      <w:numFmt w:val="decimal"/>
      <w:lvlText w:val="%1.%2.%3."/>
      <w:lvlJc w:val="left"/>
      <w:pPr>
        <w:tabs>
          <w:tab w:val="num" w:pos="1854"/>
        </w:tabs>
        <w:ind w:left="1854" w:hanging="720"/>
      </w:pPr>
      <w:rPr>
        <w:rFonts w:hint="default"/>
        <w:color w:val="000000"/>
      </w:rPr>
    </w:lvl>
    <w:lvl w:ilvl="3">
      <w:start w:val="1"/>
      <w:numFmt w:val="decimal"/>
      <w:lvlText w:val="%1.%2.%3.%4."/>
      <w:lvlJc w:val="left"/>
      <w:pPr>
        <w:tabs>
          <w:tab w:val="num" w:pos="2421"/>
        </w:tabs>
        <w:ind w:left="2421" w:hanging="720"/>
      </w:pPr>
      <w:rPr>
        <w:rFonts w:hint="default"/>
        <w:color w:val="000000"/>
      </w:rPr>
    </w:lvl>
    <w:lvl w:ilvl="4">
      <w:start w:val="1"/>
      <w:numFmt w:val="decimal"/>
      <w:lvlText w:val="%1.%2.%3.%4.%5."/>
      <w:lvlJc w:val="left"/>
      <w:pPr>
        <w:tabs>
          <w:tab w:val="num" w:pos="3348"/>
        </w:tabs>
        <w:ind w:left="3348" w:hanging="1080"/>
      </w:pPr>
      <w:rPr>
        <w:rFonts w:hint="default"/>
        <w:color w:val="000000"/>
      </w:rPr>
    </w:lvl>
    <w:lvl w:ilvl="5">
      <w:start w:val="1"/>
      <w:numFmt w:val="decimal"/>
      <w:lvlText w:val="%1.%2.%3.%4.%5.%6."/>
      <w:lvlJc w:val="left"/>
      <w:pPr>
        <w:tabs>
          <w:tab w:val="num" w:pos="3915"/>
        </w:tabs>
        <w:ind w:left="3915" w:hanging="1080"/>
      </w:pPr>
      <w:rPr>
        <w:rFonts w:hint="default"/>
        <w:color w:val="000000"/>
      </w:rPr>
    </w:lvl>
    <w:lvl w:ilvl="6">
      <w:start w:val="1"/>
      <w:numFmt w:val="decimal"/>
      <w:lvlText w:val="%1.%2.%3.%4.%5.%6.%7."/>
      <w:lvlJc w:val="left"/>
      <w:pPr>
        <w:tabs>
          <w:tab w:val="num" w:pos="4842"/>
        </w:tabs>
        <w:ind w:left="4842" w:hanging="1440"/>
      </w:pPr>
      <w:rPr>
        <w:rFonts w:hint="default"/>
        <w:color w:val="000000"/>
      </w:rPr>
    </w:lvl>
    <w:lvl w:ilvl="7">
      <w:start w:val="1"/>
      <w:numFmt w:val="decimal"/>
      <w:lvlText w:val="%1.%2.%3.%4.%5.%6.%7.%8."/>
      <w:lvlJc w:val="left"/>
      <w:pPr>
        <w:tabs>
          <w:tab w:val="num" w:pos="5409"/>
        </w:tabs>
        <w:ind w:left="5409" w:hanging="1440"/>
      </w:pPr>
      <w:rPr>
        <w:rFonts w:hint="default"/>
        <w:color w:val="000000"/>
      </w:rPr>
    </w:lvl>
    <w:lvl w:ilvl="8">
      <w:start w:val="1"/>
      <w:numFmt w:val="decimal"/>
      <w:lvlText w:val="%1.%2.%3.%4.%5.%6.%7.%8.%9."/>
      <w:lvlJc w:val="left"/>
      <w:pPr>
        <w:tabs>
          <w:tab w:val="num" w:pos="6336"/>
        </w:tabs>
        <w:ind w:left="6336" w:hanging="1800"/>
      </w:pPr>
      <w:rPr>
        <w:rFonts w:hint="default"/>
        <w:color w:val="000000"/>
      </w:rPr>
    </w:lvl>
  </w:abstractNum>
  <w:abstractNum w:abstractNumId="2">
    <w:nsid w:val="15FA3F91"/>
    <w:multiLevelType w:val="multilevel"/>
    <w:tmpl w:val="AD369B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9C1C4C"/>
    <w:multiLevelType w:val="multilevel"/>
    <w:tmpl w:val="F29AC14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decimal"/>
      <w:lvlText w:val="%1.%2."/>
      <w:lvlJc w:val="left"/>
      <w:pPr>
        <w:tabs>
          <w:tab w:val="num" w:pos="1283"/>
        </w:tabs>
        <w:ind w:left="1283"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0AD54E6"/>
    <w:multiLevelType w:val="hybridMultilevel"/>
    <w:tmpl w:val="78223F68"/>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5">
    <w:nsid w:val="63AD3D86"/>
    <w:multiLevelType w:val="multilevel"/>
    <w:tmpl w:val="5260921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59"/>
    <w:rsid w:val="00006C0B"/>
    <w:rsid w:val="000206B5"/>
    <w:rsid w:val="000224C0"/>
    <w:rsid w:val="0003048B"/>
    <w:rsid w:val="00036DC1"/>
    <w:rsid w:val="00071B05"/>
    <w:rsid w:val="000C61F4"/>
    <w:rsid w:val="002615A2"/>
    <w:rsid w:val="00277984"/>
    <w:rsid w:val="002B3EF5"/>
    <w:rsid w:val="002B73D0"/>
    <w:rsid w:val="00312D1A"/>
    <w:rsid w:val="003526C1"/>
    <w:rsid w:val="004319F4"/>
    <w:rsid w:val="00487C65"/>
    <w:rsid w:val="004B6470"/>
    <w:rsid w:val="004D6514"/>
    <w:rsid w:val="00527C9F"/>
    <w:rsid w:val="00540DF3"/>
    <w:rsid w:val="00551246"/>
    <w:rsid w:val="005C67E0"/>
    <w:rsid w:val="006B58D4"/>
    <w:rsid w:val="00733B7D"/>
    <w:rsid w:val="00755D22"/>
    <w:rsid w:val="00781D0B"/>
    <w:rsid w:val="007F4FFB"/>
    <w:rsid w:val="0083083A"/>
    <w:rsid w:val="008A27D1"/>
    <w:rsid w:val="008A2FD0"/>
    <w:rsid w:val="008C65FA"/>
    <w:rsid w:val="00900ACE"/>
    <w:rsid w:val="00935663"/>
    <w:rsid w:val="00964B69"/>
    <w:rsid w:val="0096691E"/>
    <w:rsid w:val="009A2F28"/>
    <w:rsid w:val="00A10982"/>
    <w:rsid w:val="00A37A17"/>
    <w:rsid w:val="00A43C05"/>
    <w:rsid w:val="00A51147"/>
    <w:rsid w:val="00A57422"/>
    <w:rsid w:val="00AE10D9"/>
    <w:rsid w:val="00AF02D9"/>
    <w:rsid w:val="00B00071"/>
    <w:rsid w:val="00BB17AF"/>
    <w:rsid w:val="00BB592C"/>
    <w:rsid w:val="00BC3B56"/>
    <w:rsid w:val="00BE4C93"/>
    <w:rsid w:val="00C139CE"/>
    <w:rsid w:val="00C374E1"/>
    <w:rsid w:val="00C476CB"/>
    <w:rsid w:val="00C77A32"/>
    <w:rsid w:val="00C95880"/>
    <w:rsid w:val="00CF73FF"/>
    <w:rsid w:val="00D66648"/>
    <w:rsid w:val="00D931B9"/>
    <w:rsid w:val="00DB18E9"/>
    <w:rsid w:val="00DC3CEE"/>
    <w:rsid w:val="00E56779"/>
    <w:rsid w:val="00E65623"/>
    <w:rsid w:val="00E831C9"/>
    <w:rsid w:val="00E9057D"/>
    <w:rsid w:val="00F60259"/>
    <w:rsid w:val="00F961AD"/>
    <w:rsid w:val="00FE103A"/>
    <w:rsid w:val="00FF16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64B69"/>
    <w:pPr>
      <w:keepNext/>
      <w:tabs>
        <w:tab w:val="left" w:pos="720"/>
        <w:tab w:val="left" w:pos="1440"/>
        <w:tab w:val="left" w:pos="2160"/>
        <w:tab w:val="left" w:pos="2880"/>
        <w:tab w:val="left" w:pos="3600"/>
        <w:tab w:val="left" w:pos="5340"/>
      </w:tabs>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4B6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64B69"/>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64B69"/>
    <w:rPr>
      <w:rFonts w:ascii="Times New Roman" w:eastAsia="Times New Roman" w:hAnsi="Times New Roman" w:cs="Times New Roman"/>
      <w:sz w:val="24"/>
      <w:szCs w:val="24"/>
    </w:rPr>
  </w:style>
  <w:style w:type="paragraph" w:customStyle="1" w:styleId="0Punktai">
    <w:name w:val="0_Punktai"/>
    <w:basedOn w:val="Normal"/>
    <w:uiPriority w:val="99"/>
    <w:rsid w:val="004D6514"/>
    <w:pPr>
      <w:numPr>
        <w:numId w:val="6"/>
      </w:numPr>
      <w:spacing w:after="0" w:line="240" w:lineRule="auto"/>
      <w:jc w:val="both"/>
    </w:pPr>
    <w:rPr>
      <w:rFonts w:ascii="Times New Roman" w:eastAsia="Times New Roman" w:hAnsi="Times New Roman" w:cs="Times New Roman"/>
      <w:sz w:val="24"/>
      <w:szCs w:val="20"/>
    </w:rPr>
  </w:style>
  <w:style w:type="paragraph" w:customStyle="1" w:styleId="00Punktai">
    <w:name w:val="00_Punktai"/>
    <w:basedOn w:val="0Punktai"/>
    <w:rsid w:val="004D6514"/>
    <w:pPr>
      <w:numPr>
        <w:ilvl w:val="1"/>
      </w:numPr>
    </w:pPr>
  </w:style>
  <w:style w:type="paragraph" w:customStyle="1" w:styleId="000Punktai">
    <w:name w:val="000_Punktai"/>
    <w:basedOn w:val="00Punktai"/>
    <w:rsid w:val="004D6514"/>
    <w:pPr>
      <w:numPr>
        <w:ilvl w:val="2"/>
      </w:numPr>
    </w:pPr>
  </w:style>
  <w:style w:type="paragraph" w:customStyle="1" w:styleId="0000Punktai">
    <w:name w:val="0000_Punktai"/>
    <w:basedOn w:val="000Punktai"/>
    <w:rsid w:val="004D6514"/>
    <w:pPr>
      <w:numPr>
        <w:ilvl w:val="3"/>
      </w:numPr>
    </w:pPr>
  </w:style>
  <w:style w:type="character" w:customStyle="1" w:styleId="FontStyle17">
    <w:name w:val="Font Style17"/>
    <w:rsid w:val="004D6514"/>
    <w:rPr>
      <w:rFonts w:ascii="Trebuchet MS" w:hAnsi="Trebuchet MS" w:cs="Trebuchet MS"/>
      <w:sz w:val="22"/>
      <w:szCs w:val="22"/>
    </w:rPr>
  </w:style>
  <w:style w:type="character" w:styleId="Hyperlink">
    <w:name w:val="Hyperlink"/>
    <w:basedOn w:val="DefaultParagraphFont"/>
    <w:uiPriority w:val="99"/>
    <w:unhideWhenUsed/>
    <w:rsid w:val="00071B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64B69"/>
    <w:pPr>
      <w:keepNext/>
      <w:tabs>
        <w:tab w:val="left" w:pos="720"/>
        <w:tab w:val="left" w:pos="1440"/>
        <w:tab w:val="left" w:pos="2160"/>
        <w:tab w:val="left" w:pos="2880"/>
        <w:tab w:val="left" w:pos="3600"/>
        <w:tab w:val="left" w:pos="5340"/>
      </w:tabs>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4B6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64B69"/>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64B69"/>
    <w:rPr>
      <w:rFonts w:ascii="Times New Roman" w:eastAsia="Times New Roman" w:hAnsi="Times New Roman" w:cs="Times New Roman"/>
      <w:sz w:val="24"/>
      <w:szCs w:val="24"/>
    </w:rPr>
  </w:style>
  <w:style w:type="paragraph" w:customStyle="1" w:styleId="0Punktai">
    <w:name w:val="0_Punktai"/>
    <w:basedOn w:val="Normal"/>
    <w:uiPriority w:val="99"/>
    <w:rsid w:val="004D6514"/>
    <w:pPr>
      <w:numPr>
        <w:numId w:val="6"/>
      </w:numPr>
      <w:spacing w:after="0" w:line="240" w:lineRule="auto"/>
      <w:jc w:val="both"/>
    </w:pPr>
    <w:rPr>
      <w:rFonts w:ascii="Times New Roman" w:eastAsia="Times New Roman" w:hAnsi="Times New Roman" w:cs="Times New Roman"/>
      <w:sz w:val="24"/>
      <w:szCs w:val="20"/>
    </w:rPr>
  </w:style>
  <w:style w:type="paragraph" w:customStyle="1" w:styleId="00Punktai">
    <w:name w:val="00_Punktai"/>
    <w:basedOn w:val="0Punktai"/>
    <w:rsid w:val="004D6514"/>
    <w:pPr>
      <w:numPr>
        <w:ilvl w:val="1"/>
      </w:numPr>
    </w:pPr>
  </w:style>
  <w:style w:type="paragraph" w:customStyle="1" w:styleId="000Punktai">
    <w:name w:val="000_Punktai"/>
    <w:basedOn w:val="00Punktai"/>
    <w:rsid w:val="004D6514"/>
    <w:pPr>
      <w:numPr>
        <w:ilvl w:val="2"/>
      </w:numPr>
    </w:pPr>
  </w:style>
  <w:style w:type="paragraph" w:customStyle="1" w:styleId="0000Punktai">
    <w:name w:val="0000_Punktai"/>
    <w:basedOn w:val="000Punktai"/>
    <w:rsid w:val="004D6514"/>
    <w:pPr>
      <w:numPr>
        <w:ilvl w:val="3"/>
      </w:numPr>
    </w:pPr>
  </w:style>
  <w:style w:type="character" w:customStyle="1" w:styleId="FontStyle17">
    <w:name w:val="Font Style17"/>
    <w:rsid w:val="004D6514"/>
    <w:rPr>
      <w:rFonts w:ascii="Trebuchet MS" w:hAnsi="Trebuchet MS" w:cs="Trebuchet MS"/>
      <w:sz w:val="22"/>
      <w:szCs w:val="22"/>
    </w:rPr>
  </w:style>
  <w:style w:type="character" w:styleId="Hyperlink">
    <w:name w:val="Hyperlink"/>
    <w:basedOn w:val="DefaultParagraphFont"/>
    <w:uiPriority w:val="99"/>
    <w:unhideWhenUsed/>
    <w:rsid w:val="00071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495">
      <w:bodyDiv w:val="1"/>
      <w:marLeft w:val="0"/>
      <w:marRight w:val="0"/>
      <w:marTop w:val="0"/>
      <w:marBottom w:val="0"/>
      <w:divBdr>
        <w:top w:val="none" w:sz="0" w:space="0" w:color="auto"/>
        <w:left w:val="none" w:sz="0" w:space="0" w:color="auto"/>
        <w:bottom w:val="none" w:sz="0" w:space="0" w:color="auto"/>
        <w:right w:val="none" w:sz="0" w:space="0" w:color="auto"/>
      </w:divBdr>
    </w:div>
    <w:div w:id="224610482">
      <w:bodyDiv w:val="1"/>
      <w:marLeft w:val="0"/>
      <w:marRight w:val="0"/>
      <w:marTop w:val="0"/>
      <w:marBottom w:val="0"/>
      <w:divBdr>
        <w:top w:val="none" w:sz="0" w:space="0" w:color="auto"/>
        <w:left w:val="none" w:sz="0" w:space="0" w:color="auto"/>
        <w:bottom w:val="none" w:sz="0" w:space="0" w:color="auto"/>
        <w:right w:val="none" w:sz="0" w:space="0" w:color="auto"/>
      </w:divBdr>
    </w:div>
    <w:div w:id="270669271">
      <w:bodyDiv w:val="1"/>
      <w:marLeft w:val="0"/>
      <w:marRight w:val="0"/>
      <w:marTop w:val="0"/>
      <w:marBottom w:val="0"/>
      <w:divBdr>
        <w:top w:val="none" w:sz="0" w:space="0" w:color="auto"/>
        <w:left w:val="none" w:sz="0" w:space="0" w:color="auto"/>
        <w:bottom w:val="none" w:sz="0" w:space="0" w:color="auto"/>
        <w:right w:val="none" w:sz="0" w:space="0" w:color="auto"/>
      </w:divBdr>
    </w:div>
    <w:div w:id="400642032">
      <w:bodyDiv w:val="1"/>
      <w:marLeft w:val="0"/>
      <w:marRight w:val="0"/>
      <w:marTop w:val="0"/>
      <w:marBottom w:val="0"/>
      <w:divBdr>
        <w:top w:val="none" w:sz="0" w:space="0" w:color="auto"/>
        <w:left w:val="none" w:sz="0" w:space="0" w:color="auto"/>
        <w:bottom w:val="none" w:sz="0" w:space="0" w:color="auto"/>
        <w:right w:val="none" w:sz="0" w:space="0" w:color="auto"/>
      </w:divBdr>
    </w:div>
    <w:div w:id="959608068">
      <w:bodyDiv w:val="1"/>
      <w:marLeft w:val="0"/>
      <w:marRight w:val="0"/>
      <w:marTop w:val="0"/>
      <w:marBottom w:val="0"/>
      <w:divBdr>
        <w:top w:val="none" w:sz="0" w:space="0" w:color="auto"/>
        <w:left w:val="none" w:sz="0" w:space="0" w:color="auto"/>
        <w:bottom w:val="none" w:sz="0" w:space="0" w:color="auto"/>
        <w:right w:val="none" w:sz="0" w:space="0" w:color="auto"/>
      </w:divBdr>
    </w:div>
    <w:div w:id="1031615086">
      <w:bodyDiv w:val="1"/>
      <w:marLeft w:val="0"/>
      <w:marRight w:val="0"/>
      <w:marTop w:val="0"/>
      <w:marBottom w:val="0"/>
      <w:divBdr>
        <w:top w:val="none" w:sz="0" w:space="0" w:color="auto"/>
        <w:left w:val="none" w:sz="0" w:space="0" w:color="auto"/>
        <w:bottom w:val="none" w:sz="0" w:space="0" w:color="auto"/>
        <w:right w:val="none" w:sz="0" w:space="0" w:color="auto"/>
      </w:divBdr>
    </w:div>
    <w:div w:id="1503624488">
      <w:bodyDiv w:val="1"/>
      <w:marLeft w:val="0"/>
      <w:marRight w:val="0"/>
      <w:marTop w:val="0"/>
      <w:marBottom w:val="0"/>
      <w:divBdr>
        <w:top w:val="none" w:sz="0" w:space="0" w:color="auto"/>
        <w:left w:val="none" w:sz="0" w:space="0" w:color="auto"/>
        <w:bottom w:val="none" w:sz="0" w:space="0" w:color="auto"/>
        <w:right w:val="none" w:sz="0" w:space="0" w:color="auto"/>
      </w:divBdr>
    </w:div>
    <w:div w:id="1645356423">
      <w:bodyDiv w:val="1"/>
      <w:marLeft w:val="0"/>
      <w:marRight w:val="0"/>
      <w:marTop w:val="0"/>
      <w:marBottom w:val="0"/>
      <w:divBdr>
        <w:top w:val="none" w:sz="0" w:space="0" w:color="auto"/>
        <w:left w:val="none" w:sz="0" w:space="0" w:color="auto"/>
        <w:bottom w:val="none" w:sz="0" w:space="0" w:color="auto"/>
        <w:right w:val="none" w:sz="0" w:space="0" w:color="auto"/>
      </w:divBdr>
    </w:div>
    <w:div w:id="1742411602">
      <w:bodyDiv w:val="1"/>
      <w:marLeft w:val="0"/>
      <w:marRight w:val="0"/>
      <w:marTop w:val="0"/>
      <w:marBottom w:val="0"/>
      <w:divBdr>
        <w:top w:val="none" w:sz="0" w:space="0" w:color="auto"/>
        <w:left w:val="none" w:sz="0" w:space="0" w:color="auto"/>
        <w:bottom w:val="none" w:sz="0" w:space="0" w:color="auto"/>
        <w:right w:val="none" w:sz="0" w:space="0" w:color="auto"/>
      </w:divBdr>
    </w:div>
    <w:div w:id="2068186890">
      <w:bodyDiv w:val="1"/>
      <w:marLeft w:val="0"/>
      <w:marRight w:val="0"/>
      <w:marTop w:val="0"/>
      <w:marBottom w:val="0"/>
      <w:divBdr>
        <w:top w:val="none" w:sz="0" w:space="0" w:color="auto"/>
        <w:left w:val="none" w:sz="0" w:space="0" w:color="auto"/>
        <w:bottom w:val="none" w:sz="0" w:space="0" w:color="auto"/>
        <w:right w:val="none" w:sz="0" w:space="0" w:color="auto"/>
      </w:divBdr>
    </w:div>
    <w:div w:id="20982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skait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1614</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VMI</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Milkevičiūtė</dc:creator>
  <cp:keywords/>
  <dc:description/>
  <cp:lastModifiedBy>Xenia Munteanu</cp:lastModifiedBy>
  <cp:revision>29</cp:revision>
  <dcterms:created xsi:type="dcterms:W3CDTF">2017-10-19T12:52:00Z</dcterms:created>
  <dcterms:modified xsi:type="dcterms:W3CDTF">2017-11-24T11:21:00Z</dcterms:modified>
</cp:coreProperties>
</file>