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64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</w:pPr>
      <w:proofErr w:type="spellStart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>Konkurso</w:t>
      </w:r>
      <w:proofErr w:type="spellEnd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>sąlygų</w:t>
      </w:r>
      <w:proofErr w:type="spellEnd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>aprašo</w:t>
      </w:r>
      <w:proofErr w:type="spellEnd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 xml:space="preserve"> 1 </w:t>
      </w:r>
      <w:proofErr w:type="spellStart"/>
      <w:r w:rsidRPr="0070557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  <w:t>priedas</w:t>
      </w:r>
      <w:proofErr w:type="spellEnd"/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0"/>
          <w:bdr w:val="nil"/>
          <w:lang w:val="en-US"/>
        </w:rPr>
      </w:pPr>
    </w:p>
    <w:tbl>
      <w:tblPr>
        <w:tblW w:w="2760" w:type="dxa"/>
        <w:tblInd w:w="6948" w:type="dxa"/>
        <w:tblLook w:val="01E0" w:firstRow="1" w:lastRow="1" w:firstColumn="1" w:lastColumn="1" w:noHBand="0" w:noVBand="0"/>
      </w:tblPr>
      <w:tblGrid>
        <w:gridCol w:w="2760"/>
      </w:tblGrid>
      <w:tr w:rsidR="005B3EE3" w:rsidRPr="005B3EE3" w:rsidTr="008E0B9A">
        <w:tc>
          <w:tcPr>
            <w:tcW w:w="2760" w:type="dxa"/>
          </w:tcPr>
          <w:p w:rsidR="005B3EE3" w:rsidRPr="005B3EE3" w:rsidRDefault="005B3EE3" w:rsidP="005B3EE3">
            <w:pPr>
              <w:spacing w:after="0" w:line="240" w:lineRule="auto"/>
              <w:ind w:right="-856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5B3EE3" w:rsidRDefault="005B3EE3" w:rsidP="005B3E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B3EE3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485775" cy="485775"/>
            <wp:effectExtent l="0" t="0" r="9525" b="9525"/>
            <wp:docPr id="1" name="Paveikslėlis 1" descr="LT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T_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EE3" w:rsidRPr="005B3EE3" w:rsidRDefault="005B3EE3" w:rsidP="005B3E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103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10289"/>
        <w:gridCol w:w="28"/>
      </w:tblGrid>
      <w:tr w:rsidR="005B3EE3" w:rsidRPr="005B3EE3" w:rsidTr="005B3EE3">
        <w:trPr>
          <w:gridBefore w:val="1"/>
          <w:wBefore w:w="28" w:type="dxa"/>
          <w:trHeight w:val="404"/>
        </w:trPr>
        <w:tc>
          <w:tcPr>
            <w:tcW w:w="10317" w:type="dxa"/>
            <w:gridSpan w:val="2"/>
          </w:tcPr>
          <w:p w:rsidR="005B3EE3" w:rsidRDefault="005B3EE3" w:rsidP="005B3EE3">
            <w:pPr>
              <w:keepNext/>
              <w:suppressAutoHyphens/>
              <w:snapToGrid w:val="0"/>
              <w:spacing w:before="120"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5B3EE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VALSTYBĖS ĮMONĖ „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KELIŲ PRIEŽIŪRA</w:t>
            </w:r>
            <w:r w:rsidRPr="005B3EE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“</w:t>
            </w:r>
          </w:p>
          <w:p w:rsidR="005B3EE3" w:rsidRPr="005B3EE3" w:rsidRDefault="005B3EE3" w:rsidP="005B3EE3">
            <w:pPr>
              <w:keepNext/>
              <w:suppressAutoHyphens/>
              <w:snapToGrid w:val="0"/>
              <w:spacing w:before="120"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</w:tr>
      <w:tr w:rsidR="005B3EE3" w:rsidRPr="005B3EE3" w:rsidTr="005B3EE3">
        <w:trPr>
          <w:gridAfter w:val="1"/>
          <w:wAfter w:w="28" w:type="dxa"/>
          <w:trHeight w:val="568"/>
        </w:trPr>
        <w:tc>
          <w:tcPr>
            <w:tcW w:w="10317" w:type="dxa"/>
            <w:gridSpan w:val="2"/>
            <w:tcBorders>
              <w:bottom w:val="single" w:sz="4" w:space="0" w:color="000000"/>
            </w:tcBorders>
          </w:tcPr>
          <w:p w:rsidR="005B3EE3" w:rsidRPr="00650845" w:rsidRDefault="00185E4F" w:rsidP="008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185E4F"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val="en-US"/>
              </w:rPr>
              <w:t>I. Kanto</w:t>
            </w:r>
            <w:r w:rsidR="005B3EE3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g.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  <w:r w:rsidR="005B3EE3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Kaunas</w:t>
            </w:r>
            <w:r w:rsidR="005B3EE3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tel. 8 (315) 56 444, faks. 8 (315) 72 254, el. p. </w:t>
            </w:r>
            <w:hyperlink r:id="rId6" w:history="1">
              <w:r w:rsidR="00FF6BA1" w:rsidRPr="00650845">
                <w:rPr>
                  <w:rStyle w:val="Hipersaitas"/>
                  <w:rFonts w:ascii="Times New Roman" w:eastAsia="Times New Roman" w:hAnsi="Times New Roman" w:cs="Times New Roman"/>
                  <w:sz w:val="20"/>
                  <w:szCs w:val="20"/>
                  <w:lang w:eastAsia="lt-LT"/>
                </w:rPr>
                <w:t>alytus@keliuprieziura.lt</w:t>
              </w:r>
            </w:hyperlink>
          </w:p>
          <w:p w:rsidR="005B3EE3" w:rsidRPr="00650845" w:rsidRDefault="005B3EE3" w:rsidP="005B3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proofErr w:type="spellStart"/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Atsisk</w:t>
            </w:r>
            <w:proofErr w:type="spellEnd"/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smartTag w:uri="schemas-tilde-lt/tildestengine" w:element="templates">
              <w:smartTagPr>
                <w:attr w:name="baseform" w:val="sąskait|a"/>
                <w:attr w:name="id" w:val="-1"/>
                <w:attr w:name="text" w:val="sąskaita"/>
              </w:smartTagPr>
              <w:r w:rsidRPr="00650845">
                <w:rPr>
                  <w:rFonts w:ascii="Times New Roman" w:eastAsia="Times New Roman" w:hAnsi="Times New Roman" w:cs="Times New Roman"/>
                  <w:sz w:val="20"/>
                  <w:szCs w:val="20"/>
                  <w:lang w:eastAsia="lt-LT"/>
                </w:rPr>
                <w:t>sąskaita</w:t>
              </w:r>
            </w:smartTag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r w:rsidR="008D2E69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Nr.LT</w:t>
            </w:r>
            <w:r w:rsidR="008D2E69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097300010002228081 </w:t>
            </w:r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Bankas: Swedbank AB, </w:t>
            </w:r>
            <w:r w:rsidRPr="00650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t-LT"/>
              </w:rPr>
              <w:t>Banko k</w:t>
            </w:r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odas 73000. </w:t>
            </w:r>
          </w:p>
          <w:p w:rsidR="005B3EE3" w:rsidRPr="005B3EE3" w:rsidRDefault="005B3EE3" w:rsidP="008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</w:pPr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Įmonės kodas </w:t>
            </w:r>
            <w:r w:rsidR="008D2E69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232112130</w:t>
            </w:r>
            <w:r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    PVM m. k .LT</w:t>
            </w:r>
            <w:r w:rsidR="008D2E69" w:rsidRPr="00650845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321121314</w:t>
            </w:r>
          </w:p>
        </w:tc>
      </w:tr>
    </w:tbl>
    <w:p w:rsidR="0070557B" w:rsidRPr="005B3EE3" w:rsidRDefault="005B3EE3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-178"/>
        <w:jc w:val="center"/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</w:pPr>
      <w:r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(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Juridinio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asmens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teisinė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forma,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buveinė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kontaktinė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informacija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registro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kuriame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kaupiami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ir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saugomi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duomenys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apie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tiekėją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pavadinimas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juridinio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asmens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kodas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pridėtinės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vertės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mokesčio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mokėtojo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kodas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,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jei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juridinis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asmuo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yra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pridėtinės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vertės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mokesčio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 xml:space="preserve"> </w:t>
      </w:r>
      <w:proofErr w:type="spellStart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mokėtojas</w:t>
      </w:r>
      <w:proofErr w:type="spellEnd"/>
      <w:r w:rsidR="0070557B" w:rsidRPr="005B3EE3"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  <w:t>)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en-US"/>
        </w:rPr>
      </w:pP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Varėnos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rajono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savivaldybės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administracijai</w:t>
      </w:r>
      <w:proofErr w:type="spellEnd"/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851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bdr w:val="nil"/>
          <w:lang w:val="en-US"/>
        </w:rPr>
      </w:pPr>
      <w:r w:rsidRPr="0070557B">
        <w:rPr>
          <w:rFonts w:ascii="Times New Roman" w:eastAsia="Arial Unicode MS" w:hAnsi="Times New Roman" w:cs="Times New Roman"/>
          <w:b/>
          <w:sz w:val="24"/>
          <w:szCs w:val="24"/>
          <w:bdr w:val="nil"/>
          <w:lang w:val="en-US"/>
        </w:rPr>
        <w:t>PASIŪLYMAS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z w:val="24"/>
          <w:szCs w:val="24"/>
          <w:bdr w:val="nil"/>
          <w:lang w:val="en-US"/>
        </w:rPr>
      </w:pPr>
      <w:r w:rsidRPr="0070557B">
        <w:rPr>
          <w:rFonts w:ascii="Times New Roman" w:eastAsia="Arial Unicode MS" w:hAnsi="Times New Roman" w:cs="Times New Roman"/>
          <w:b/>
          <w:caps/>
          <w:sz w:val="24"/>
          <w:szCs w:val="24"/>
          <w:bdr w:val="nil"/>
          <w:lang w:val="en-US"/>
        </w:rPr>
        <w:t>DĖL iII pirkimo objekto dalies (</w:t>
      </w:r>
      <w:r w:rsidRPr="0070557B">
        <w:rPr>
          <w:rFonts w:ascii="Times New Roman" w:eastAsia="Arial Unicode MS" w:hAnsi="Times New Roman" w:cs="Times New Roman"/>
          <w:b/>
          <w:sz w:val="24"/>
          <w:szCs w:val="24"/>
          <w:bdr w:val="nil"/>
          <w:lang w:val="en-US"/>
        </w:rPr>
        <w:t>VARĖNOS RAJONO SAVIVALDYBĖS MARCINKONIŲ SENIŪNIJŲ VIETINIŲ KELIŲ IR GATVIŲ (APIE 133 KM) PRIEŽIŪROS IR REMONTO DARBŲ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:rsidR="0070557B" w:rsidRPr="0070557B" w:rsidRDefault="00FF6BA1" w:rsidP="0070557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bdr w:val="nil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2017-12-1</w:t>
      </w:r>
      <w:r w:rsidR="00BE43FA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1</w:t>
      </w:r>
      <w:r w:rsidR="00650845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r w:rsidR="0070557B" w:rsidRPr="0070557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bdr w:val="nil"/>
          <w:lang w:val="en-US"/>
        </w:rPr>
        <w:t xml:space="preserve"> </w:t>
      </w:r>
      <w:r w:rsidR="0070557B"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Nr.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1</w:t>
      </w:r>
    </w:p>
    <w:p w:rsidR="0070557B" w:rsidRPr="00FF6BA1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</w:pPr>
      <w:r w:rsidRPr="00FF6BA1"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  <w:t>(Data)</w:t>
      </w:r>
    </w:p>
    <w:p w:rsidR="0070557B" w:rsidRPr="0070557B" w:rsidRDefault="00FF6BA1" w:rsidP="0070557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0"/>
          <w:bdr w:val="nil"/>
          <w:lang w:val="en-US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0"/>
          <w:bdr w:val="nil"/>
          <w:lang w:val="en-US"/>
        </w:rPr>
        <w:t>Alytus</w:t>
      </w:r>
    </w:p>
    <w:p w:rsidR="0070557B" w:rsidRPr="00FF6BA1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</w:pPr>
      <w:r w:rsidRPr="00FF6BA1"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  <w:t>(</w:t>
      </w:r>
      <w:proofErr w:type="spellStart"/>
      <w:r w:rsidRPr="00FF6BA1"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  <w:t>Sudarymo</w:t>
      </w:r>
      <w:proofErr w:type="spellEnd"/>
      <w:r w:rsidRPr="00FF6BA1"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  <w:t xml:space="preserve"> </w:t>
      </w:r>
      <w:proofErr w:type="spellStart"/>
      <w:r w:rsidRPr="00FF6BA1"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  <w:t>vieta</w:t>
      </w:r>
      <w:proofErr w:type="spellEnd"/>
      <w:r w:rsidRPr="00FF6BA1">
        <w:rPr>
          <w:rFonts w:ascii="Times New Roman" w:eastAsia="Arial Unicode MS" w:hAnsi="Times New Roman" w:cs="Times New Roman"/>
          <w:bCs/>
          <w:color w:val="000000"/>
          <w:sz w:val="16"/>
          <w:szCs w:val="16"/>
          <w:bdr w:val="nil"/>
          <w:lang w:val="en-US"/>
        </w:rPr>
        <w:t>)</w:t>
      </w:r>
    </w:p>
    <w:p w:rsidR="0070557B" w:rsidRPr="00FF6BA1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sz w:val="16"/>
          <w:szCs w:val="16"/>
          <w:bdr w:val="nil"/>
          <w:lang w:val="en-US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90"/>
      </w:tblGrid>
      <w:tr w:rsidR="0070557B" w:rsidRPr="0070557B" w:rsidTr="00185E4F">
        <w:tc>
          <w:tcPr>
            <w:tcW w:w="566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Tiekėjo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pavadinimas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/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Jeigu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dalyvauja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ūkio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subjektų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grupė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surašomi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visi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dalyvių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pavadinimai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/</w:t>
            </w:r>
          </w:p>
        </w:tc>
        <w:tc>
          <w:tcPr>
            <w:tcW w:w="4190" w:type="dxa"/>
            <w:vAlign w:val="center"/>
          </w:tcPr>
          <w:p w:rsidR="0070557B" w:rsidRPr="0070557B" w:rsidRDefault="00FF6BA1" w:rsidP="00185E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VĮ „Kelių priežiūra“ </w:t>
            </w:r>
          </w:p>
        </w:tc>
      </w:tr>
      <w:tr w:rsidR="0070557B" w:rsidRPr="0070557B" w:rsidTr="00FF6BA1">
        <w:tc>
          <w:tcPr>
            <w:tcW w:w="566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Tiekėjo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adresas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/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Jeigu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dalyvauja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ūkio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subjektų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grupė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surašomi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visi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dalyvių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adresai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>/</w:t>
            </w:r>
          </w:p>
        </w:tc>
        <w:tc>
          <w:tcPr>
            <w:tcW w:w="4190" w:type="dxa"/>
            <w:vAlign w:val="center"/>
          </w:tcPr>
          <w:p w:rsidR="0070557B" w:rsidRPr="0070557B" w:rsidRDefault="00185E4F" w:rsidP="00185E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I. Kanto </w:t>
            </w:r>
            <w:r w:rsidR="00FF6BA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g. 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</w:t>
            </w:r>
            <w:r w:rsidR="00FF6BA1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Kaunas</w:t>
            </w:r>
          </w:p>
        </w:tc>
      </w:tr>
      <w:tr w:rsidR="0070557B" w:rsidRPr="0070557B" w:rsidTr="00FF6BA1">
        <w:tc>
          <w:tcPr>
            <w:tcW w:w="566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Už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pasiūlymą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atsakingo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asmens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vardas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pavardė</w:t>
            </w:r>
            <w:proofErr w:type="spellEnd"/>
          </w:p>
        </w:tc>
        <w:tc>
          <w:tcPr>
            <w:tcW w:w="4190" w:type="dxa"/>
            <w:vAlign w:val="center"/>
          </w:tcPr>
          <w:p w:rsidR="0070557B" w:rsidRPr="0070557B" w:rsidRDefault="00FF6BA1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Daiva Vaitkevičienė</w:t>
            </w:r>
          </w:p>
        </w:tc>
      </w:tr>
      <w:tr w:rsidR="0070557B" w:rsidRPr="0070557B" w:rsidTr="00FF6BA1">
        <w:tc>
          <w:tcPr>
            <w:tcW w:w="566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Telefono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numeris</w:t>
            </w:r>
            <w:proofErr w:type="spellEnd"/>
          </w:p>
        </w:tc>
        <w:tc>
          <w:tcPr>
            <w:tcW w:w="4190" w:type="dxa"/>
            <w:vAlign w:val="center"/>
          </w:tcPr>
          <w:p w:rsidR="0070557B" w:rsidRPr="0070557B" w:rsidRDefault="00FF6BA1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8 315 28552</w:t>
            </w:r>
          </w:p>
        </w:tc>
      </w:tr>
      <w:tr w:rsidR="0070557B" w:rsidRPr="0070557B" w:rsidTr="00FF6BA1">
        <w:tc>
          <w:tcPr>
            <w:tcW w:w="566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Fakso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numeris</w:t>
            </w:r>
            <w:proofErr w:type="spellEnd"/>
          </w:p>
        </w:tc>
        <w:tc>
          <w:tcPr>
            <w:tcW w:w="4190" w:type="dxa"/>
            <w:vAlign w:val="center"/>
          </w:tcPr>
          <w:p w:rsidR="0070557B" w:rsidRPr="0070557B" w:rsidRDefault="00FF6BA1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8 315 72254</w:t>
            </w:r>
          </w:p>
        </w:tc>
      </w:tr>
      <w:tr w:rsidR="0070557B" w:rsidRPr="0070557B" w:rsidTr="00FF6BA1">
        <w:tc>
          <w:tcPr>
            <w:tcW w:w="566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El.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pašto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adresas</w:t>
            </w:r>
            <w:proofErr w:type="spellEnd"/>
          </w:p>
        </w:tc>
        <w:tc>
          <w:tcPr>
            <w:tcW w:w="4190" w:type="dxa"/>
            <w:vAlign w:val="center"/>
          </w:tcPr>
          <w:p w:rsidR="0070557B" w:rsidRPr="00FF6BA1" w:rsidRDefault="00185E4F" w:rsidP="00FF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hyperlink r:id="rId7" w:history="1">
              <w:r w:rsidR="00FF6BA1" w:rsidRPr="00FF6BA1">
                <w:rPr>
                  <w:rStyle w:val="Hipersaitas"/>
                  <w:rFonts w:ascii="Times New Roman" w:eastAsia="Times New Roman" w:hAnsi="Times New Roman" w:cs="Times New Roman"/>
                  <w:sz w:val="24"/>
                  <w:szCs w:val="24"/>
                  <w:lang w:eastAsia="lt-LT"/>
                </w:rPr>
                <w:t>alytus@keliuprieziura.lt</w:t>
              </w:r>
            </w:hyperlink>
          </w:p>
        </w:tc>
      </w:tr>
    </w:tbl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pacing w:val="-4"/>
          <w:sz w:val="24"/>
          <w:szCs w:val="24"/>
          <w:bdr w:val="nil"/>
          <w:lang w:val="en-US"/>
        </w:rPr>
      </w:pPr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/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Pastaba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.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Pildoma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,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jei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tiekėjas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ketina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pasitelkti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subrangovą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(-us),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subtiekėją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(-us)</w:t>
      </w:r>
      <w:r w:rsidRPr="0070557B">
        <w:rPr>
          <w:rFonts w:ascii="Times New Roman" w:eastAsia="Arial Unicode MS" w:hAnsi="Times New Roman" w:cs="Times New Roman"/>
          <w:i/>
          <w:strike/>
          <w:spacing w:val="-4"/>
          <w:sz w:val="24"/>
          <w:szCs w:val="24"/>
          <w:bdr w:val="nil"/>
          <w:lang w:val="en-US"/>
        </w:rPr>
        <w:t>,</w:t>
      </w:r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ar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>subteikėją</w:t>
      </w:r>
      <w:proofErr w:type="spellEnd"/>
      <w:r w:rsidRPr="0070557B">
        <w:rPr>
          <w:rFonts w:ascii="Times New Roman" w:eastAsia="Arial Unicode MS" w:hAnsi="Times New Roman" w:cs="Times New Roman"/>
          <w:i/>
          <w:spacing w:val="-4"/>
          <w:sz w:val="24"/>
          <w:szCs w:val="24"/>
          <w:bdr w:val="nil"/>
          <w:lang w:val="en-US"/>
        </w:rPr>
        <w:t xml:space="preserve"> (-us)/</w:t>
      </w: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7"/>
        <w:gridCol w:w="4298"/>
      </w:tblGrid>
      <w:tr w:rsidR="0070557B" w:rsidRPr="0070557B" w:rsidTr="00FF6BA1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Subrangovo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(-ų),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subtiekėjo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(-ų)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ar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subteikėjo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 (</w:t>
            </w:r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noBreakHyphen/>
              <w:t>ų)</w:t>
            </w: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pavadinimas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(-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)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</w:tr>
      <w:tr w:rsidR="0070557B" w:rsidRPr="0070557B" w:rsidTr="00FF6BA1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Subrangovo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(-ų),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subtiekėjo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(-ų)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ar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>subteikėjo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t xml:space="preserve">  (</w:t>
            </w:r>
            <w:r w:rsidRPr="0070557B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bdr w:val="nil"/>
                <w:lang w:val="en-US"/>
              </w:rPr>
              <w:noBreakHyphen/>
              <w:t>ų)</w:t>
            </w: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adresas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(-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)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</w:tr>
      <w:tr w:rsidR="0070557B" w:rsidRPr="0070557B" w:rsidTr="00FF6BA1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Įsipareigojimų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dalis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nurodant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konkrečius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pagal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Pirkimo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sutartį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prisiimamus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įsipareigojimus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),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kuriai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ketinama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pasitelkti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subrangovą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(-us),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subtiekėją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(-us)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subteikėją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(-us)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</w:tr>
    </w:tbl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Šiuo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pasiūlymu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pažymime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,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kad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sutinkame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su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visomis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pirkimo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sąlygomis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,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nustatytomis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:</w:t>
      </w:r>
    </w:p>
    <w:p w:rsidR="0070557B" w:rsidRPr="0070557B" w:rsidRDefault="0070557B" w:rsidP="007055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Mažos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vertės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pirkimo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skelbime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,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paskelbtame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Viešųjų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pirkimų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įstatymo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nustatyta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tvarka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CVPIS.</w:t>
      </w:r>
    </w:p>
    <w:p w:rsidR="0070557B" w:rsidRPr="0070557B" w:rsidRDefault="0070557B" w:rsidP="007055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proofErr w:type="spellStart"/>
      <w:proofErr w:type="gram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kituose</w:t>
      </w:r>
      <w:proofErr w:type="spellEnd"/>
      <w:proofErr w:type="gram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pirkimo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dokumentuose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(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jų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paaiškinimuose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,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papildymuose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).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Mes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siūlome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atlikti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šiuos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darbus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: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559"/>
        <w:gridCol w:w="1843"/>
        <w:gridCol w:w="1701"/>
      </w:tblGrid>
      <w:tr w:rsidR="0070557B" w:rsidRPr="0070557B" w:rsidTr="00E40B6A">
        <w:trPr>
          <w:trHeight w:val="550"/>
        </w:trPr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Darbų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pavadinimas</w:t>
            </w:r>
            <w:proofErr w:type="spellEnd"/>
          </w:p>
        </w:tc>
        <w:tc>
          <w:tcPr>
            <w:tcW w:w="1559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Orientacinis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kiekis</w:t>
            </w:r>
            <w:proofErr w:type="spellEnd"/>
          </w:p>
        </w:tc>
        <w:tc>
          <w:tcPr>
            <w:tcW w:w="1843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Įkainis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be PVM, EUR</w:t>
            </w:r>
          </w:p>
        </w:tc>
        <w:tc>
          <w:tcPr>
            <w:tcW w:w="1701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Suma be PVM, EUR</w:t>
            </w:r>
          </w:p>
        </w:tc>
      </w:tr>
      <w:tr w:rsidR="0070557B" w:rsidRPr="0070557B" w:rsidTr="00E40B6A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Sniego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valymas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iki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5 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pločio</w:t>
            </w:r>
            <w:proofErr w:type="spellEnd"/>
          </w:p>
        </w:tc>
        <w:tc>
          <w:tcPr>
            <w:tcW w:w="1559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400</w:t>
            </w:r>
          </w:p>
        </w:tc>
        <w:tc>
          <w:tcPr>
            <w:tcW w:w="1843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29,90</w:t>
            </w:r>
          </w:p>
        </w:tc>
        <w:tc>
          <w:tcPr>
            <w:tcW w:w="1701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11960,00</w:t>
            </w:r>
          </w:p>
        </w:tc>
      </w:tr>
      <w:tr w:rsidR="0070557B" w:rsidRPr="0070557B" w:rsidTr="00E40B6A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Sniego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valymas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virš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5 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pločio</w:t>
            </w:r>
            <w:proofErr w:type="spellEnd"/>
          </w:p>
        </w:tc>
        <w:tc>
          <w:tcPr>
            <w:tcW w:w="1559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140</w:t>
            </w:r>
          </w:p>
        </w:tc>
        <w:tc>
          <w:tcPr>
            <w:tcW w:w="1843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38,80</w:t>
            </w:r>
          </w:p>
        </w:tc>
        <w:tc>
          <w:tcPr>
            <w:tcW w:w="1701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5432,00</w:t>
            </w:r>
          </w:p>
        </w:tc>
      </w:tr>
      <w:tr w:rsidR="0070557B" w:rsidRPr="0070557B" w:rsidTr="00E40B6A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Sniego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valymas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šaligatvio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tako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)</w:t>
            </w:r>
          </w:p>
        </w:tc>
        <w:tc>
          <w:tcPr>
            <w:tcW w:w="1559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4</w:t>
            </w:r>
          </w:p>
        </w:tc>
        <w:tc>
          <w:tcPr>
            <w:tcW w:w="1843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20,80</w:t>
            </w:r>
          </w:p>
        </w:tc>
        <w:tc>
          <w:tcPr>
            <w:tcW w:w="1701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83,20</w:t>
            </w:r>
          </w:p>
        </w:tc>
      </w:tr>
      <w:tr w:rsidR="0070557B" w:rsidRPr="0070557B" w:rsidTr="00E40B6A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1000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kv.m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sniego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valymas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aikštelių</w:t>
            </w:r>
            <w:proofErr w:type="spellEnd"/>
          </w:p>
        </w:tc>
        <w:tc>
          <w:tcPr>
            <w:tcW w:w="1559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7</w:t>
            </w:r>
          </w:p>
        </w:tc>
        <w:tc>
          <w:tcPr>
            <w:tcW w:w="1843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15,80</w:t>
            </w:r>
          </w:p>
        </w:tc>
        <w:tc>
          <w:tcPr>
            <w:tcW w:w="1701" w:type="dxa"/>
          </w:tcPr>
          <w:p w:rsidR="0070557B" w:rsidRPr="0070557B" w:rsidRDefault="00911966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110,60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lastRenderedPageBreak/>
              <w:t xml:space="preserve">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(be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šaligatvio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)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barstymas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smėlio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drusko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mišiniu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įskaitant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medžiagų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kainas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6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63,80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382,80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šaligatvio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barstymas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smėlio-druskos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mišiniu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įskaitant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medžiagų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kainas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8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50,70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405,60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žvyro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danga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greideriavimas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atstatant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profilį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540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51,80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27972,00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1000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kv.m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aikštelių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žvyro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danga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greideriavimas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15,70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47,10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kelkraščių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lyginimas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kai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danga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asfaltbetonio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7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39,80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278,60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1000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kv.m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kelkraščių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žolės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šienavimas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6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51,70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310,20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1000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kv.m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mažaverčių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krūmų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medžių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pjovimas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įskaitant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nupjautų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krūmų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medžių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išvežimą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156,80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627,20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kub.m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skaldos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nesurištųjų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mineralinių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medžiagų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mišinys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kurio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frakcija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0/45)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atvežimas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paskleidimas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30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50,90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1527,00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kub.m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žvyro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atvežimas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paskleidimas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800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29,80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23840,00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kub.m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žvyro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atvežimas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paskleidimas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(be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žvyro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kainos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30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16,80</w:t>
            </w:r>
          </w:p>
        </w:tc>
        <w:tc>
          <w:tcPr>
            <w:tcW w:w="1701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504,00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kub.m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kasimas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ekskavatoriumi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išvežant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gruntą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iki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10 km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atstumu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140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5,90</w:t>
            </w:r>
          </w:p>
        </w:tc>
        <w:tc>
          <w:tcPr>
            <w:tcW w:w="1701" w:type="dxa"/>
            <w:vAlign w:val="center"/>
          </w:tcPr>
          <w:p w:rsidR="0070557B" w:rsidRPr="0070557B" w:rsidRDefault="00F963CE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826,00</w:t>
            </w:r>
          </w:p>
        </w:tc>
      </w:tr>
      <w:tr w:rsidR="0070557B" w:rsidRPr="0070557B" w:rsidTr="00F963CE">
        <w:tc>
          <w:tcPr>
            <w:tcW w:w="492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1 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ilgio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pralaidos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iš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0,3 m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diametro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plastikinių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gofruotų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dvigubų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sienelių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vamzdžių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įrengimas</w:t>
            </w:r>
            <w:proofErr w:type="spellEnd"/>
          </w:p>
        </w:tc>
        <w:tc>
          <w:tcPr>
            <w:tcW w:w="1559" w:type="dxa"/>
            <w:vAlign w:val="center"/>
          </w:tcPr>
          <w:p w:rsidR="0070557B" w:rsidRPr="0070557B" w:rsidRDefault="0070557B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14</w:t>
            </w:r>
          </w:p>
        </w:tc>
        <w:tc>
          <w:tcPr>
            <w:tcW w:w="1843" w:type="dxa"/>
            <w:vAlign w:val="center"/>
          </w:tcPr>
          <w:p w:rsidR="0070557B" w:rsidRPr="0070557B" w:rsidRDefault="00911966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79,80</w:t>
            </w:r>
          </w:p>
        </w:tc>
        <w:tc>
          <w:tcPr>
            <w:tcW w:w="1701" w:type="dxa"/>
            <w:vAlign w:val="center"/>
          </w:tcPr>
          <w:p w:rsidR="0070557B" w:rsidRPr="0070557B" w:rsidRDefault="00F963CE" w:rsidP="00F963C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1117,20</w:t>
            </w:r>
          </w:p>
        </w:tc>
      </w:tr>
      <w:tr w:rsidR="0070557B" w:rsidRPr="0070557B" w:rsidTr="00E40B6A">
        <w:trPr>
          <w:trHeight w:val="835"/>
        </w:trPr>
        <w:tc>
          <w:tcPr>
            <w:tcW w:w="8330" w:type="dxa"/>
            <w:gridSpan w:val="3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Bendra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pasiūlymo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kaina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be PVM, EUR</w:t>
            </w:r>
          </w:p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PVM, EUR</w:t>
            </w:r>
          </w:p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Bendra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pasiūlymo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kaina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>su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en-US"/>
              </w:rPr>
              <w:t xml:space="preserve"> PVM, EUR</w:t>
            </w:r>
          </w:p>
        </w:tc>
        <w:tc>
          <w:tcPr>
            <w:tcW w:w="1701" w:type="dxa"/>
          </w:tcPr>
          <w:p w:rsid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75423,50</w:t>
            </w:r>
          </w:p>
          <w:p w:rsidR="00F963CE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15838,94</w:t>
            </w:r>
          </w:p>
          <w:p w:rsidR="00F963CE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91262,44</w:t>
            </w:r>
          </w:p>
        </w:tc>
      </w:tr>
    </w:tbl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Kartu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su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pasiūlymu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pateikiami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šie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dokumentai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(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pasirašydamas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pasiūlymą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ar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kiekvieną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dokumentą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patvirtinu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,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kad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dokumentų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skaitmeninės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kopijos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yra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proofErr w:type="spellStart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tikros</w:t>
      </w:r>
      <w:proofErr w:type="spellEnd"/>
      <w:r w:rsidRPr="0070557B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):</w:t>
      </w:r>
    </w:p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518"/>
        <w:gridCol w:w="2635"/>
      </w:tblGrid>
      <w:tr w:rsidR="0070557B" w:rsidRPr="0070557B" w:rsidTr="00E40B6A">
        <w:tc>
          <w:tcPr>
            <w:tcW w:w="67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Eil.Nr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.</w:t>
            </w:r>
          </w:p>
        </w:tc>
        <w:tc>
          <w:tcPr>
            <w:tcW w:w="651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Pateiktų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dokumentų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pavadinimas</w:t>
            </w:r>
            <w:proofErr w:type="spellEnd"/>
          </w:p>
        </w:tc>
        <w:tc>
          <w:tcPr>
            <w:tcW w:w="2635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Dokumento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puslapių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skaičius</w:t>
            </w:r>
            <w:proofErr w:type="spellEnd"/>
          </w:p>
        </w:tc>
      </w:tr>
      <w:tr w:rsidR="0070557B" w:rsidRPr="0070557B" w:rsidTr="00E40B6A">
        <w:tc>
          <w:tcPr>
            <w:tcW w:w="675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</w:t>
            </w:r>
          </w:p>
        </w:tc>
        <w:tc>
          <w:tcPr>
            <w:tcW w:w="6518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Europos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bendrasis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viešųjų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pirkimų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dokumentas</w:t>
            </w:r>
            <w:proofErr w:type="spellEnd"/>
          </w:p>
        </w:tc>
        <w:tc>
          <w:tcPr>
            <w:tcW w:w="2635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16</w:t>
            </w:r>
          </w:p>
        </w:tc>
      </w:tr>
      <w:tr w:rsidR="0070557B" w:rsidRPr="0070557B" w:rsidTr="00E40B6A">
        <w:tc>
          <w:tcPr>
            <w:tcW w:w="675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</w:t>
            </w:r>
          </w:p>
        </w:tc>
        <w:tc>
          <w:tcPr>
            <w:tcW w:w="6518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96"/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Įmonės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įstatai</w:t>
            </w:r>
            <w:proofErr w:type="spellEnd"/>
          </w:p>
        </w:tc>
        <w:tc>
          <w:tcPr>
            <w:tcW w:w="2635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10</w:t>
            </w:r>
          </w:p>
        </w:tc>
      </w:tr>
      <w:tr w:rsidR="0070557B" w:rsidRPr="0070557B" w:rsidTr="00E40B6A">
        <w:tc>
          <w:tcPr>
            <w:tcW w:w="675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3.</w:t>
            </w:r>
          </w:p>
        </w:tc>
        <w:tc>
          <w:tcPr>
            <w:tcW w:w="6518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Atsakingo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asmens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įgaliojimas</w:t>
            </w:r>
            <w:proofErr w:type="spellEnd"/>
          </w:p>
        </w:tc>
        <w:tc>
          <w:tcPr>
            <w:tcW w:w="2635" w:type="dxa"/>
          </w:tcPr>
          <w:p w:rsidR="0070557B" w:rsidRPr="0070557B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</w:t>
            </w:r>
          </w:p>
        </w:tc>
      </w:tr>
      <w:tr w:rsidR="00F963CE" w:rsidRPr="0070557B" w:rsidTr="00E40B6A">
        <w:tc>
          <w:tcPr>
            <w:tcW w:w="675" w:type="dxa"/>
          </w:tcPr>
          <w:p w:rsidR="00F963CE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4.</w:t>
            </w:r>
          </w:p>
        </w:tc>
        <w:tc>
          <w:tcPr>
            <w:tcW w:w="6518" w:type="dxa"/>
          </w:tcPr>
          <w:p w:rsidR="00F963CE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Mechanizmų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sąrašas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registracijos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liudijimai</w:t>
            </w:r>
            <w:proofErr w:type="spellEnd"/>
          </w:p>
        </w:tc>
        <w:tc>
          <w:tcPr>
            <w:tcW w:w="2635" w:type="dxa"/>
          </w:tcPr>
          <w:p w:rsidR="00F963CE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21</w:t>
            </w:r>
          </w:p>
        </w:tc>
      </w:tr>
    </w:tbl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70557B" w:rsidRPr="0070557B" w:rsidTr="00E40B6A">
        <w:trPr>
          <w:trHeight w:val="324"/>
        </w:trPr>
        <w:tc>
          <w:tcPr>
            <w:tcW w:w="9828" w:type="dxa"/>
            <w:gridSpan w:val="6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Pasiūlymas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galioja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iki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termino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,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nustatyto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pirkimo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dokumentuose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  <w:t>.</w:t>
            </w:r>
          </w:p>
        </w:tc>
      </w:tr>
      <w:tr w:rsidR="0070557B" w:rsidRPr="0070557B" w:rsidTr="00E40B6A">
        <w:trPr>
          <w:trHeight w:val="324"/>
        </w:trPr>
        <w:tc>
          <w:tcPr>
            <w:tcW w:w="9828" w:type="dxa"/>
            <w:gridSpan w:val="6"/>
          </w:tcPr>
          <w:p w:rsid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  <w:p w:rsidR="00FF6BA1" w:rsidRDefault="00FF6BA1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  <w:p w:rsidR="00F963CE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  <w:p w:rsidR="00F963CE" w:rsidRDefault="00F963CE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  <w:p w:rsidR="00FF6BA1" w:rsidRPr="0070557B" w:rsidRDefault="00FF6BA1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</w:tr>
      <w:tr w:rsidR="0070557B" w:rsidRPr="0070557B" w:rsidTr="00E40B6A">
        <w:tblPrEx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604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701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64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</w:tr>
      <w:tr w:rsidR="0070557B" w:rsidRPr="0070557B" w:rsidTr="00E40B6A">
        <w:tblPrEx>
          <w:tblLook w:val="00A0" w:firstRow="1" w:lastRow="0" w:firstColumn="1" w:lastColumn="0" w:noHBand="0" w:noVBand="0"/>
        </w:tblPrEx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57B" w:rsidRPr="0070557B" w:rsidRDefault="0070557B" w:rsidP="0070557B">
            <w:pPr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</w:rPr>
            </w:pPr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</w:rPr>
              <w:t>(Tiekėjo arba jo įgalioto asmens pareigų pavadinimas)</w:t>
            </w:r>
          </w:p>
        </w:tc>
        <w:tc>
          <w:tcPr>
            <w:tcW w:w="604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Parašas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)</w:t>
            </w:r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</w:p>
        </w:tc>
        <w:tc>
          <w:tcPr>
            <w:tcW w:w="701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(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Vardas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ir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 xml:space="preserve"> </w:t>
            </w:r>
            <w:proofErr w:type="spellStart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pavardė</w:t>
            </w:r>
            <w:proofErr w:type="spellEnd"/>
            <w:r w:rsidRPr="0070557B">
              <w:rPr>
                <w:rFonts w:ascii="Times New Roman" w:eastAsia="Arial Unicode MS" w:hAnsi="Times New Roman" w:cs="Times New Roman"/>
                <w:position w:val="6"/>
                <w:sz w:val="24"/>
                <w:szCs w:val="24"/>
                <w:bdr w:val="nil"/>
                <w:lang w:val="en-US"/>
              </w:rPr>
              <w:t>)</w:t>
            </w:r>
            <w:r w:rsidRPr="0070557B">
              <w:rPr>
                <w:rFonts w:ascii="Times New Roman" w:eastAsia="Arial Unicode MS" w:hAnsi="Times New Roman" w:cs="Times New Roman"/>
                <w:i/>
                <w:sz w:val="24"/>
                <w:szCs w:val="24"/>
                <w:bdr w:val="nil"/>
                <w:lang w:val="en-US"/>
              </w:rPr>
              <w:t xml:space="preserve"> </w:t>
            </w:r>
          </w:p>
        </w:tc>
        <w:tc>
          <w:tcPr>
            <w:tcW w:w="648" w:type="dxa"/>
          </w:tcPr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  <w:p w:rsidR="0070557B" w:rsidRPr="0070557B" w:rsidRDefault="0070557B" w:rsidP="007055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en-US"/>
              </w:rPr>
            </w:pPr>
          </w:p>
        </w:tc>
      </w:tr>
    </w:tbl>
    <w:p w:rsidR="0070557B" w:rsidRPr="0070557B" w:rsidRDefault="0070557B" w:rsidP="007055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en-US" w:eastAsia="lt-LT"/>
        </w:rPr>
      </w:pPr>
    </w:p>
    <w:sectPr w:rsidR="0070557B" w:rsidRPr="0070557B" w:rsidSect="005B3EE3">
      <w:pgSz w:w="11906" w:h="16838"/>
      <w:pgMar w:top="454" w:right="567" w:bottom="454" w:left="153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94B3E"/>
    <w:multiLevelType w:val="hybridMultilevel"/>
    <w:tmpl w:val="26FAC98E"/>
    <w:lvl w:ilvl="0" w:tplc="DCEA80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F708B"/>
    <w:multiLevelType w:val="hybridMultilevel"/>
    <w:tmpl w:val="9C529778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99F6A1E"/>
    <w:multiLevelType w:val="hybridMultilevel"/>
    <w:tmpl w:val="79E0ED50"/>
    <w:lvl w:ilvl="0" w:tplc="2FDA0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7B"/>
    <w:rsid w:val="00185E4F"/>
    <w:rsid w:val="001E0651"/>
    <w:rsid w:val="00207951"/>
    <w:rsid w:val="005B3EE3"/>
    <w:rsid w:val="00650845"/>
    <w:rsid w:val="0070557B"/>
    <w:rsid w:val="008D2E69"/>
    <w:rsid w:val="00911966"/>
    <w:rsid w:val="00AF05A9"/>
    <w:rsid w:val="00B35AD2"/>
    <w:rsid w:val="00BE43FA"/>
    <w:rsid w:val="00F963CE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6B2D0-56A8-4F43-8026-0A0AC20C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D2E69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8D2E69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E4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E4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ytus@keliuprieziur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ytus@keliuprieziura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2580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Vaitkevičienė</dc:creator>
  <cp:keywords/>
  <dc:description/>
  <cp:lastModifiedBy>Daiva Vaitkevičienė</cp:lastModifiedBy>
  <cp:revision>5</cp:revision>
  <cp:lastPrinted>2017-12-12T07:05:00Z</cp:lastPrinted>
  <dcterms:created xsi:type="dcterms:W3CDTF">2017-12-05T07:11:00Z</dcterms:created>
  <dcterms:modified xsi:type="dcterms:W3CDTF">2017-12-12T07:06:00Z</dcterms:modified>
</cp:coreProperties>
</file>