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61" w:type="dxa"/>
        <w:tblInd w:w="4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tblGrid>
      <w:tr w:rsidR="001209C5" w:rsidRPr="007349C1" w:rsidTr="003E107D">
        <w:tc>
          <w:tcPr>
            <w:tcW w:w="4961" w:type="dxa"/>
            <w:tcBorders>
              <w:top w:val="nil"/>
              <w:left w:val="nil"/>
              <w:bottom w:val="nil"/>
              <w:right w:val="nil"/>
            </w:tcBorders>
          </w:tcPr>
          <w:bookmarkStart w:id="0" w:name="_GoBack"/>
          <w:bookmarkEnd w:id="0"/>
          <w:p w:rsidR="001209C5" w:rsidRPr="007349C1" w:rsidRDefault="001209C5" w:rsidP="003E107D">
            <w:r w:rsidRPr="007349C1">
              <w:rPr>
                <w:noProof/>
              </w:rPr>
              <w:fldChar w:fldCharType="begin">
                <w:ffData>
                  <w:name w:val="registravimoDataIlga"/>
                  <w:enabled/>
                  <w:calcOnExit w:val="0"/>
                  <w:textInput>
                    <w:maxLength w:val="1"/>
                  </w:textInput>
                </w:ffData>
              </w:fldChar>
            </w:r>
            <w:bookmarkStart w:id="1" w:name="registravimoDataIlga"/>
            <w:r w:rsidRPr="007349C1">
              <w:rPr>
                <w:noProof/>
              </w:rPr>
              <w:instrText xml:space="preserve"> FORMTEXT </w:instrText>
            </w:r>
            <w:r w:rsidRPr="007349C1">
              <w:rPr>
                <w:noProof/>
              </w:rPr>
            </w:r>
            <w:r w:rsidRPr="007349C1">
              <w:rPr>
                <w:noProof/>
              </w:rPr>
              <w:fldChar w:fldCharType="separate"/>
            </w:r>
            <w:r w:rsidRPr="007349C1">
              <w:rPr>
                <w:noProof/>
              </w:rPr>
              <w:t>2017 m. kovo 17 d.</w:t>
            </w:r>
            <w:r w:rsidRPr="007349C1">
              <w:rPr>
                <w:noProof/>
              </w:rPr>
              <w:fldChar w:fldCharType="end"/>
            </w:r>
            <w:bookmarkEnd w:id="1"/>
            <w:r>
              <w:t xml:space="preserve"> </w:t>
            </w:r>
            <w:r w:rsidRPr="007349C1">
              <w:rPr>
                <w:szCs w:val="24"/>
              </w:rPr>
              <w:t>sutarties Nr.</w:t>
            </w:r>
            <w:r>
              <w:rPr>
                <w:szCs w:val="24"/>
              </w:rPr>
              <w:t xml:space="preserve"> </w:t>
            </w:r>
            <w:bookmarkStart w:id="2" w:name="dokumentoNr"/>
            <w:r w:rsidRPr="007349C1">
              <w:rPr>
                <w:noProof/>
              </w:rPr>
              <w:fldChar w:fldCharType="begin">
                <w:ffData>
                  <w:name w:val="dokumentoNr"/>
                  <w:enabled/>
                  <w:calcOnExit w:val="0"/>
                  <w:textInput>
                    <w:maxLength w:val="1"/>
                  </w:textInput>
                </w:ffData>
              </w:fldChar>
            </w:r>
            <w:r w:rsidRPr="007349C1">
              <w:rPr>
                <w:noProof/>
              </w:rPr>
              <w:instrText xml:space="preserve"> FORMTEXT </w:instrText>
            </w:r>
            <w:r w:rsidRPr="007349C1">
              <w:rPr>
                <w:noProof/>
              </w:rPr>
            </w:r>
            <w:r w:rsidRPr="007349C1">
              <w:rPr>
                <w:noProof/>
              </w:rPr>
              <w:fldChar w:fldCharType="separate"/>
            </w:r>
            <w:r w:rsidRPr="007349C1">
              <w:rPr>
                <w:noProof/>
              </w:rPr>
              <w:t>J9-616</w:t>
            </w:r>
            <w:r w:rsidRPr="007349C1">
              <w:rPr>
                <w:noProof/>
              </w:rPr>
              <w:fldChar w:fldCharType="end"/>
            </w:r>
            <w:bookmarkEnd w:id="2"/>
          </w:p>
        </w:tc>
      </w:tr>
      <w:tr w:rsidR="001209C5" w:rsidRPr="003C09F9" w:rsidTr="003E107D">
        <w:tc>
          <w:tcPr>
            <w:tcW w:w="4961" w:type="dxa"/>
            <w:tcBorders>
              <w:top w:val="nil"/>
              <w:left w:val="nil"/>
              <w:bottom w:val="nil"/>
              <w:right w:val="nil"/>
            </w:tcBorders>
          </w:tcPr>
          <w:p w:rsidR="001209C5" w:rsidRDefault="001209C5" w:rsidP="003E107D">
            <w:pPr>
              <w:rPr>
                <w:szCs w:val="24"/>
              </w:rPr>
            </w:pPr>
            <w:r>
              <w:rPr>
                <w:szCs w:val="24"/>
              </w:rPr>
              <w:t>Priedas</w:t>
            </w:r>
          </w:p>
          <w:p w:rsidR="001209C5" w:rsidRDefault="001209C5" w:rsidP="003E107D">
            <w:pPr>
              <w:rPr>
                <w:noProof/>
                <w:szCs w:val="24"/>
              </w:rPr>
            </w:pPr>
          </w:p>
        </w:tc>
      </w:tr>
    </w:tbl>
    <w:p w:rsidR="001209C5" w:rsidRPr="001209C5" w:rsidRDefault="001209C5" w:rsidP="001209C5">
      <w:pPr>
        <w:jc w:val="center"/>
        <w:rPr>
          <w:b/>
          <w:bCs/>
          <w:caps/>
          <w:color w:val="000000"/>
          <w:szCs w:val="24"/>
        </w:rPr>
      </w:pPr>
      <w:r w:rsidRPr="001209C5">
        <w:rPr>
          <w:b/>
          <w:bCs/>
          <w:caps/>
          <w:color w:val="000000"/>
          <w:szCs w:val="24"/>
        </w:rPr>
        <w:t xml:space="preserve">Rangos darbų Techninė specifikacija </w:t>
      </w:r>
    </w:p>
    <w:p w:rsidR="001209C5" w:rsidRPr="001209C5" w:rsidRDefault="001209C5" w:rsidP="001209C5">
      <w:pPr>
        <w:jc w:val="both"/>
        <w:rPr>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1767"/>
        <w:gridCol w:w="7224"/>
      </w:tblGrid>
      <w:tr w:rsidR="001209C5" w:rsidRPr="001209C5" w:rsidTr="003E107D">
        <w:trPr>
          <w:trHeight w:val="94"/>
        </w:trPr>
        <w:tc>
          <w:tcPr>
            <w:tcW w:w="9629" w:type="dxa"/>
            <w:gridSpan w:val="3"/>
          </w:tcPr>
          <w:p w:rsidR="001209C5" w:rsidRPr="001209C5" w:rsidRDefault="001209C5" w:rsidP="003E107D">
            <w:pPr>
              <w:rPr>
                <w:b/>
                <w:bCs/>
                <w:color w:val="000000"/>
                <w:szCs w:val="24"/>
                <w:lang w:eastAsia="en-US"/>
              </w:rPr>
            </w:pPr>
            <w:r w:rsidRPr="001209C5">
              <w:rPr>
                <w:b/>
                <w:bCs/>
                <w:color w:val="000000"/>
                <w:szCs w:val="24"/>
              </w:rPr>
              <w:t>1. Bendri duomenys:</w:t>
            </w:r>
          </w:p>
        </w:tc>
      </w:tr>
      <w:tr w:rsidR="001209C5" w:rsidRPr="001209C5" w:rsidTr="003E107D">
        <w:trPr>
          <w:trHeight w:val="384"/>
        </w:trPr>
        <w:tc>
          <w:tcPr>
            <w:tcW w:w="638" w:type="dxa"/>
          </w:tcPr>
          <w:p w:rsidR="001209C5" w:rsidRPr="001209C5" w:rsidRDefault="001209C5" w:rsidP="003E107D">
            <w:pPr>
              <w:rPr>
                <w:color w:val="000000"/>
                <w:szCs w:val="24"/>
                <w:lang w:eastAsia="en-US"/>
              </w:rPr>
            </w:pPr>
            <w:r w:rsidRPr="001209C5">
              <w:rPr>
                <w:color w:val="000000"/>
                <w:szCs w:val="24"/>
                <w:lang w:eastAsia="en-US"/>
              </w:rPr>
              <w:t>1.1.</w:t>
            </w:r>
          </w:p>
        </w:tc>
        <w:tc>
          <w:tcPr>
            <w:tcW w:w="1767" w:type="dxa"/>
          </w:tcPr>
          <w:p w:rsidR="001209C5" w:rsidRPr="001209C5" w:rsidRDefault="001209C5" w:rsidP="003E107D">
            <w:pPr>
              <w:rPr>
                <w:color w:val="000000"/>
                <w:szCs w:val="24"/>
              </w:rPr>
            </w:pPr>
            <w:r w:rsidRPr="001209C5">
              <w:rPr>
                <w:color w:val="000000"/>
                <w:szCs w:val="24"/>
              </w:rPr>
              <w:t xml:space="preserve"> Statytojo (Užsakovo) pavadinimas, adresas, kontaktinis asmuo</w:t>
            </w:r>
          </w:p>
        </w:tc>
        <w:tc>
          <w:tcPr>
            <w:tcW w:w="7224" w:type="dxa"/>
          </w:tcPr>
          <w:p w:rsidR="001209C5" w:rsidRPr="001209C5" w:rsidRDefault="001209C5" w:rsidP="003E107D">
            <w:pPr>
              <w:ind w:firstLine="6"/>
              <w:jc w:val="both"/>
              <w:rPr>
                <w:szCs w:val="24"/>
                <w:lang w:eastAsia="en-US"/>
              </w:rPr>
            </w:pPr>
            <w:r w:rsidRPr="001209C5">
              <w:rPr>
                <w:szCs w:val="24"/>
                <w:lang w:eastAsia="en-US"/>
              </w:rPr>
              <w:t xml:space="preserve">Klaipėdos miesto savivaldybė, a. k. 111100775, </w:t>
            </w:r>
          </w:p>
          <w:p w:rsidR="001209C5" w:rsidRPr="001209C5" w:rsidRDefault="001209C5" w:rsidP="003E107D">
            <w:pPr>
              <w:ind w:firstLine="6"/>
              <w:jc w:val="both"/>
              <w:rPr>
                <w:szCs w:val="24"/>
                <w:lang w:eastAsia="en-US"/>
              </w:rPr>
            </w:pPr>
            <w:r w:rsidRPr="001209C5">
              <w:rPr>
                <w:szCs w:val="24"/>
                <w:lang w:eastAsia="en-US"/>
              </w:rPr>
              <w:t>Liepų g. 11, LT-91502 Klaipėda.</w:t>
            </w:r>
          </w:p>
          <w:p w:rsidR="001209C5" w:rsidRPr="001209C5" w:rsidRDefault="001209C5" w:rsidP="003E107D">
            <w:pPr>
              <w:widowControl w:val="0"/>
              <w:autoSpaceDE w:val="0"/>
              <w:autoSpaceDN w:val="0"/>
              <w:adjustRightInd w:val="0"/>
              <w:ind w:firstLine="6"/>
              <w:jc w:val="both"/>
              <w:rPr>
                <w:color w:val="0000FF"/>
                <w:szCs w:val="24"/>
                <w:lang w:eastAsia="en-US"/>
              </w:rPr>
            </w:pPr>
            <w:r w:rsidRPr="001209C5">
              <w:rPr>
                <w:szCs w:val="24"/>
                <w:lang w:eastAsia="en-US"/>
              </w:rPr>
              <w:t xml:space="preserve">Kontaktinis asmuo: Statybos ir infrastruktūros plėtros skyriaus Statybos ir infrastruktūros įgyvendinimo poskyrio vyriausiasis specialistas Vytautas Kovaitis, </w:t>
            </w:r>
            <w:r w:rsidRPr="001209C5">
              <w:rPr>
                <w:szCs w:val="24"/>
              </w:rPr>
              <w:t>tel. (8 46) 39 63 17, mob. tel. 8 672 30014, el. p. </w:t>
            </w:r>
            <w:r w:rsidRPr="001209C5">
              <w:rPr>
                <w:szCs w:val="24"/>
                <w:u w:val="single"/>
              </w:rPr>
              <w:t>vytautas.kovaitis@klaipeda.lt</w:t>
            </w:r>
            <w:r w:rsidRPr="001209C5">
              <w:rPr>
                <w:szCs w:val="24"/>
              </w:rPr>
              <w:t>.</w:t>
            </w:r>
          </w:p>
        </w:tc>
      </w:tr>
      <w:tr w:rsidR="001209C5" w:rsidRPr="001209C5" w:rsidTr="003E107D">
        <w:trPr>
          <w:trHeight w:val="892"/>
        </w:trPr>
        <w:tc>
          <w:tcPr>
            <w:tcW w:w="638" w:type="dxa"/>
          </w:tcPr>
          <w:p w:rsidR="001209C5" w:rsidRPr="001209C5" w:rsidRDefault="001209C5" w:rsidP="003E107D">
            <w:pPr>
              <w:rPr>
                <w:color w:val="000000"/>
                <w:szCs w:val="24"/>
              </w:rPr>
            </w:pPr>
            <w:r w:rsidRPr="001209C5">
              <w:rPr>
                <w:color w:val="000000"/>
                <w:szCs w:val="24"/>
              </w:rPr>
              <w:t>1.2.</w:t>
            </w:r>
          </w:p>
        </w:tc>
        <w:tc>
          <w:tcPr>
            <w:tcW w:w="1767" w:type="dxa"/>
          </w:tcPr>
          <w:p w:rsidR="001209C5" w:rsidRPr="001209C5" w:rsidRDefault="001209C5" w:rsidP="003E107D">
            <w:pPr>
              <w:rPr>
                <w:spacing w:val="-1"/>
                <w:szCs w:val="24"/>
              </w:rPr>
            </w:pPr>
            <w:r w:rsidRPr="001209C5">
              <w:rPr>
                <w:spacing w:val="-1"/>
                <w:szCs w:val="24"/>
              </w:rPr>
              <w:t>Statinys (pavadinimas, adresas)</w:t>
            </w:r>
          </w:p>
        </w:tc>
        <w:tc>
          <w:tcPr>
            <w:tcW w:w="7224" w:type="dxa"/>
          </w:tcPr>
          <w:p w:rsidR="001209C5" w:rsidRPr="001209C5" w:rsidRDefault="001209C5" w:rsidP="003E107D">
            <w:pPr>
              <w:ind w:firstLine="6"/>
              <w:jc w:val="both"/>
              <w:rPr>
                <w:szCs w:val="24"/>
              </w:rPr>
            </w:pPr>
            <w:r w:rsidRPr="001209C5">
              <w:rPr>
                <w:szCs w:val="24"/>
                <w:lang w:eastAsia="en-US"/>
              </w:rPr>
              <w:t>Privažiuojamojo kelio nuo Naikupės g. iki įvažos į Taikos pr. 68 teritoriją rekonstrukcija ir gatvės tęsinio iki sklypo Taikos pr. 66C šiaurinės ribos įrengimas, pėsčiųjų ir dviračių tako nuo Naikupės g. privažiuojamojo kelio iki Nidos g. įrengimas.</w:t>
            </w:r>
          </w:p>
        </w:tc>
      </w:tr>
      <w:tr w:rsidR="001209C5" w:rsidRPr="001209C5" w:rsidTr="003E107D">
        <w:trPr>
          <w:trHeight w:val="455"/>
        </w:trPr>
        <w:tc>
          <w:tcPr>
            <w:tcW w:w="638" w:type="dxa"/>
          </w:tcPr>
          <w:p w:rsidR="001209C5" w:rsidRPr="001209C5" w:rsidRDefault="001209C5" w:rsidP="003E107D">
            <w:pPr>
              <w:rPr>
                <w:color w:val="000000"/>
                <w:szCs w:val="24"/>
              </w:rPr>
            </w:pPr>
            <w:r w:rsidRPr="001209C5">
              <w:rPr>
                <w:color w:val="000000"/>
                <w:szCs w:val="24"/>
              </w:rPr>
              <w:t>1.3.</w:t>
            </w:r>
          </w:p>
        </w:tc>
        <w:tc>
          <w:tcPr>
            <w:tcW w:w="1767" w:type="dxa"/>
          </w:tcPr>
          <w:p w:rsidR="001209C5" w:rsidRPr="001209C5" w:rsidRDefault="001209C5" w:rsidP="003E107D">
            <w:pPr>
              <w:rPr>
                <w:color w:val="000000"/>
                <w:szCs w:val="24"/>
              </w:rPr>
            </w:pPr>
            <w:r w:rsidRPr="001209C5">
              <w:rPr>
                <w:color w:val="000000"/>
                <w:szCs w:val="24"/>
              </w:rPr>
              <w:t>Statinių kategorija,  ir naudojimo paskirtis</w:t>
            </w:r>
          </w:p>
        </w:tc>
        <w:tc>
          <w:tcPr>
            <w:tcW w:w="7224" w:type="dxa"/>
          </w:tcPr>
          <w:p w:rsidR="001209C5" w:rsidRPr="001209C5" w:rsidRDefault="001209C5" w:rsidP="003E107D">
            <w:pPr>
              <w:ind w:firstLine="6"/>
              <w:jc w:val="both"/>
              <w:rPr>
                <w:szCs w:val="24"/>
                <w:lang w:eastAsia="en-US"/>
              </w:rPr>
            </w:pPr>
            <w:r w:rsidRPr="001209C5">
              <w:rPr>
                <w:szCs w:val="24"/>
                <w:lang w:eastAsia="en-US"/>
              </w:rPr>
              <w:t>Statinio kategorija: Nesudėtingas (STR 1.01.06:2013 „Ypatingi statiniai“; STR 1.01.07:2010 „Nesudėtingi statiniai“).</w:t>
            </w:r>
          </w:p>
          <w:p w:rsidR="001209C5" w:rsidRPr="001209C5" w:rsidRDefault="001209C5" w:rsidP="003E107D">
            <w:pPr>
              <w:ind w:firstLine="6"/>
              <w:jc w:val="both"/>
              <w:rPr>
                <w:szCs w:val="24"/>
                <w:lang w:eastAsia="en-US"/>
              </w:rPr>
            </w:pPr>
            <w:r w:rsidRPr="001209C5">
              <w:rPr>
                <w:szCs w:val="24"/>
                <w:lang w:eastAsia="en-US"/>
              </w:rPr>
              <w:t>Statybos rūšis: Projekto rengimo metu projektuotojas, vadovaudamasis STR 1.0.08.2002 „Statinio statybos rūšys“, nustato ir parenka statybos rūšį.</w:t>
            </w:r>
          </w:p>
          <w:p w:rsidR="001209C5" w:rsidRPr="001209C5" w:rsidRDefault="001209C5" w:rsidP="003E107D">
            <w:pPr>
              <w:ind w:firstLine="6"/>
              <w:jc w:val="both"/>
              <w:rPr>
                <w:szCs w:val="24"/>
                <w:lang w:eastAsia="en-US"/>
              </w:rPr>
            </w:pPr>
            <w:r w:rsidRPr="001209C5">
              <w:rPr>
                <w:szCs w:val="24"/>
                <w:lang w:eastAsia="en-US"/>
              </w:rPr>
              <w:t xml:space="preserve">Naudojimo paskirtis: </w:t>
            </w:r>
            <w:r w:rsidRPr="001209C5">
              <w:rPr>
                <w:rFonts w:eastAsiaTheme="minorHAnsi"/>
                <w:szCs w:val="24"/>
                <w:lang w:eastAsia="en-US"/>
              </w:rPr>
              <w:t>Susisiekimo komunikacijos: statinių pogrupis: keliai ir (ar) gatvės.</w:t>
            </w:r>
          </w:p>
        </w:tc>
      </w:tr>
      <w:tr w:rsidR="001209C5" w:rsidRPr="001209C5" w:rsidTr="003E107D">
        <w:trPr>
          <w:trHeight w:val="1809"/>
        </w:trPr>
        <w:tc>
          <w:tcPr>
            <w:tcW w:w="638" w:type="dxa"/>
          </w:tcPr>
          <w:p w:rsidR="001209C5" w:rsidRPr="001209C5" w:rsidRDefault="001209C5" w:rsidP="003E107D">
            <w:pPr>
              <w:rPr>
                <w:color w:val="000000"/>
                <w:szCs w:val="24"/>
              </w:rPr>
            </w:pPr>
            <w:r w:rsidRPr="001209C5">
              <w:rPr>
                <w:color w:val="000000"/>
                <w:szCs w:val="24"/>
              </w:rPr>
              <w:t>1.4.</w:t>
            </w:r>
          </w:p>
        </w:tc>
        <w:tc>
          <w:tcPr>
            <w:tcW w:w="1767" w:type="dxa"/>
          </w:tcPr>
          <w:p w:rsidR="001209C5" w:rsidRPr="001209C5" w:rsidRDefault="001209C5" w:rsidP="003E107D">
            <w:pPr>
              <w:rPr>
                <w:color w:val="000000"/>
                <w:szCs w:val="24"/>
                <w:lang w:eastAsia="en-US"/>
              </w:rPr>
            </w:pPr>
            <w:r w:rsidRPr="001209C5">
              <w:rPr>
                <w:color w:val="000000"/>
                <w:szCs w:val="24"/>
              </w:rPr>
              <w:t>Statinio apibūdinimas, esama padėtis</w:t>
            </w:r>
          </w:p>
        </w:tc>
        <w:tc>
          <w:tcPr>
            <w:tcW w:w="7224" w:type="dxa"/>
            <w:tcBorders>
              <w:bottom w:val="single" w:sz="4" w:space="0" w:color="auto"/>
            </w:tcBorders>
          </w:tcPr>
          <w:p w:rsidR="001209C5" w:rsidRPr="001209C5" w:rsidRDefault="001209C5" w:rsidP="003E107D">
            <w:pPr>
              <w:ind w:firstLine="6"/>
              <w:jc w:val="both"/>
              <w:rPr>
                <w:szCs w:val="24"/>
              </w:rPr>
            </w:pPr>
            <w:r w:rsidRPr="001209C5">
              <w:rPr>
                <w:rFonts w:eastAsiaTheme="minorHAnsi"/>
                <w:szCs w:val="24"/>
                <w:lang w:eastAsia="en-US"/>
              </w:rPr>
              <w:t>Šiuo metu esamas privažiuojamasis kelias prie pastato Taikos pr. 68 itin blogos būklės. Pastate įsikūrusi Klaipėdos Gilijos pradinė mokykla ir Klaipėdos vaikų globos namai „Rytas“. Pėsčiųjų ir dviračių tako ties Darbo birža ir Klaipėdos Vydūno gimnazija kai kuriuose ruožuose nėra – yra išminti takai žolėje, kai kur pėsčiųjų ir dviračių tako danga sutrupėjusi, išardyta medžių šaknų</w:t>
            </w:r>
          </w:p>
        </w:tc>
      </w:tr>
    </w:tbl>
    <w:p w:rsidR="001209C5" w:rsidRPr="001209C5" w:rsidRDefault="001209C5" w:rsidP="001209C5">
      <w:pPr>
        <w:rPr>
          <w:vanish/>
          <w:szCs w:val="24"/>
          <w:lang w:eastAsia="en-U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9"/>
        <w:gridCol w:w="1736"/>
        <w:gridCol w:w="7229"/>
      </w:tblGrid>
      <w:tr w:rsidR="001209C5" w:rsidRPr="001209C5" w:rsidTr="003E107D">
        <w:tc>
          <w:tcPr>
            <w:tcW w:w="9634" w:type="dxa"/>
            <w:gridSpan w:val="3"/>
          </w:tcPr>
          <w:p w:rsidR="001209C5" w:rsidRPr="001209C5" w:rsidRDefault="001209C5" w:rsidP="003E107D">
            <w:pPr>
              <w:tabs>
                <w:tab w:val="left" w:pos="7395"/>
              </w:tabs>
              <w:jc w:val="both"/>
              <w:rPr>
                <w:b/>
                <w:bCs/>
                <w:color w:val="000000"/>
                <w:szCs w:val="24"/>
                <w:lang w:eastAsia="en-US"/>
              </w:rPr>
            </w:pPr>
            <w:r w:rsidRPr="001209C5">
              <w:rPr>
                <w:b/>
                <w:bCs/>
                <w:color w:val="000000"/>
                <w:szCs w:val="24"/>
              </w:rPr>
              <w:t xml:space="preserve">2. </w:t>
            </w:r>
            <w:r w:rsidRPr="001209C5">
              <w:rPr>
                <w:b/>
                <w:szCs w:val="24"/>
              </w:rPr>
              <w:t>Perkami darbai ir su jais susijusios paslaugos:</w:t>
            </w:r>
            <w:r w:rsidRPr="001209C5">
              <w:rPr>
                <w:b/>
                <w:bCs/>
                <w:color w:val="000000"/>
                <w:szCs w:val="24"/>
              </w:rPr>
              <w:tab/>
            </w:r>
          </w:p>
        </w:tc>
      </w:tr>
      <w:tr w:rsidR="001209C5" w:rsidRPr="001209C5" w:rsidTr="003E107D">
        <w:trPr>
          <w:trHeight w:val="983"/>
        </w:trPr>
        <w:tc>
          <w:tcPr>
            <w:tcW w:w="669" w:type="dxa"/>
          </w:tcPr>
          <w:p w:rsidR="001209C5" w:rsidRPr="001209C5" w:rsidRDefault="001209C5" w:rsidP="003E107D">
            <w:pPr>
              <w:rPr>
                <w:color w:val="000000"/>
                <w:szCs w:val="24"/>
              </w:rPr>
            </w:pPr>
            <w:r w:rsidRPr="001209C5">
              <w:rPr>
                <w:color w:val="000000"/>
                <w:szCs w:val="24"/>
              </w:rPr>
              <w:t>2.1.</w:t>
            </w:r>
          </w:p>
        </w:tc>
        <w:tc>
          <w:tcPr>
            <w:tcW w:w="1736" w:type="dxa"/>
          </w:tcPr>
          <w:p w:rsidR="001209C5" w:rsidRPr="001209C5" w:rsidRDefault="001209C5" w:rsidP="003E107D">
            <w:pPr>
              <w:rPr>
                <w:szCs w:val="24"/>
              </w:rPr>
            </w:pPr>
            <w:r w:rsidRPr="001209C5">
              <w:rPr>
                <w:szCs w:val="24"/>
              </w:rPr>
              <w:t>Perkamų darbų ir susijusių paslaugų apimtis</w:t>
            </w:r>
          </w:p>
        </w:tc>
        <w:tc>
          <w:tcPr>
            <w:tcW w:w="7229" w:type="dxa"/>
          </w:tcPr>
          <w:p w:rsidR="001209C5" w:rsidRPr="001209C5" w:rsidRDefault="001209C5" w:rsidP="003E107D">
            <w:pPr>
              <w:numPr>
                <w:ilvl w:val="0"/>
                <w:numId w:val="12"/>
              </w:numPr>
              <w:tabs>
                <w:tab w:val="left" w:pos="335"/>
              </w:tabs>
              <w:contextualSpacing/>
              <w:jc w:val="both"/>
              <w:rPr>
                <w:szCs w:val="24"/>
                <w:lang w:eastAsia="en-US"/>
              </w:rPr>
            </w:pPr>
            <w:r w:rsidRPr="001209C5">
              <w:rPr>
                <w:szCs w:val="24"/>
                <w:lang w:eastAsia="en-US"/>
              </w:rPr>
              <w:t>Darbų atlikimas (įvykdymas) pagal parengtą ir patvirtintą Techninį darbo projektą;</w:t>
            </w:r>
          </w:p>
          <w:p w:rsidR="001209C5" w:rsidRPr="001209C5" w:rsidRDefault="001209C5" w:rsidP="003E107D">
            <w:pPr>
              <w:numPr>
                <w:ilvl w:val="0"/>
                <w:numId w:val="12"/>
              </w:numPr>
              <w:tabs>
                <w:tab w:val="left" w:pos="335"/>
                <w:tab w:val="left" w:pos="417"/>
              </w:tabs>
              <w:jc w:val="both"/>
              <w:rPr>
                <w:szCs w:val="24"/>
              </w:rPr>
            </w:pPr>
            <w:r w:rsidRPr="001209C5">
              <w:rPr>
                <w:szCs w:val="24"/>
              </w:rPr>
              <w:t>statybvietės, laikinų privažiavimo kelių įsirengimas, energetinių išteklių užsitikrinimas statybos darbų vykdymui ir jų kaštų padengimas statybos laikotarpiu;</w:t>
            </w:r>
          </w:p>
          <w:p w:rsidR="001209C5" w:rsidRPr="001209C5" w:rsidRDefault="001209C5" w:rsidP="003E107D">
            <w:pPr>
              <w:numPr>
                <w:ilvl w:val="0"/>
                <w:numId w:val="12"/>
              </w:numPr>
              <w:tabs>
                <w:tab w:val="left" w:pos="335"/>
              </w:tabs>
              <w:contextualSpacing/>
              <w:jc w:val="both"/>
              <w:rPr>
                <w:b/>
                <w:szCs w:val="24"/>
                <w:lang w:eastAsia="en-US"/>
              </w:rPr>
            </w:pPr>
            <w:r w:rsidRPr="001209C5">
              <w:rPr>
                <w:szCs w:val="24"/>
                <w:lang w:eastAsia="en-US"/>
              </w:rPr>
              <w:t>aiškinamojo – informacinio stendo (po sutarties pasirašymo, prieš pradedant darbus) įrengimas statybos laikotarpiu;</w:t>
            </w:r>
          </w:p>
          <w:p w:rsidR="001209C5" w:rsidRPr="001209C5" w:rsidRDefault="001209C5" w:rsidP="003E107D">
            <w:pPr>
              <w:numPr>
                <w:ilvl w:val="0"/>
                <w:numId w:val="12"/>
              </w:numPr>
              <w:tabs>
                <w:tab w:val="left" w:pos="335"/>
              </w:tabs>
              <w:contextualSpacing/>
              <w:jc w:val="both"/>
              <w:rPr>
                <w:szCs w:val="24"/>
                <w:lang w:eastAsia="en-US"/>
              </w:rPr>
            </w:pPr>
            <w:r w:rsidRPr="001209C5">
              <w:rPr>
                <w:szCs w:val="24"/>
                <w:lang w:eastAsia="en-US"/>
              </w:rPr>
              <w:t>statybos darbų organizavimo plano su eismo organizavimo schemomis parengimas, nustatyta tvarka jas derinant su eismo organizavimo, leidimo eismo uždarymui ar ribojimui gavimas, užtikrinant patekimą į savininkų ar naudotojų teritorijas (jei reikia);</w:t>
            </w:r>
          </w:p>
          <w:p w:rsidR="001209C5" w:rsidRPr="001209C5" w:rsidRDefault="001209C5" w:rsidP="003E107D">
            <w:pPr>
              <w:numPr>
                <w:ilvl w:val="0"/>
                <w:numId w:val="12"/>
              </w:numPr>
              <w:tabs>
                <w:tab w:val="left" w:pos="335"/>
              </w:tabs>
              <w:jc w:val="both"/>
              <w:rPr>
                <w:szCs w:val="24"/>
                <w:lang w:eastAsia="en-US"/>
              </w:rPr>
            </w:pPr>
            <w:r w:rsidRPr="001209C5">
              <w:rPr>
                <w:szCs w:val="24"/>
                <w:lang w:eastAsia="en-US"/>
              </w:rPr>
              <w:t>statybos darbus vykdyti vadovaujantis inžinerinių tinklų operatorių (savininkų) išduotomis sąlygomis, prieš pradedant darbus būtina apie tai informuoti inžinerinių tinklų operatorius (savininkus);</w:t>
            </w:r>
          </w:p>
          <w:p w:rsidR="001209C5" w:rsidRPr="001209C5" w:rsidRDefault="001209C5" w:rsidP="003E107D">
            <w:pPr>
              <w:numPr>
                <w:ilvl w:val="0"/>
                <w:numId w:val="12"/>
              </w:numPr>
              <w:tabs>
                <w:tab w:val="left" w:pos="335"/>
                <w:tab w:val="left" w:pos="743"/>
              </w:tabs>
              <w:contextualSpacing/>
              <w:jc w:val="both"/>
              <w:rPr>
                <w:szCs w:val="24"/>
                <w:lang w:eastAsia="en-US"/>
              </w:rPr>
            </w:pPr>
            <w:r w:rsidRPr="001209C5">
              <w:rPr>
                <w:szCs w:val="24"/>
                <w:lang w:eastAsia="en-US"/>
              </w:rPr>
              <w:t>statybos darbų žurnalų įsigijimas;</w:t>
            </w:r>
          </w:p>
          <w:p w:rsidR="001209C5" w:rsidRPr="001209C5" w:rsidRDefault="001209C5" w:rsidP="003E107D">
            <w:pPr>
              <w:numPr>
                <w:ilvl w:val="0"/>
                <w:numId w:val="12"/>
              </w:numPr>
              <w:tabs>
                <w:tab w:val="left" w:pos="335"/>
              </w:tabs>
              <w:contextualSpacing/>
              <w:jc w:val="both"/>
              <w:rPr>
                <w:szCs w:val="24"/>
                <w:lang w:eastAsia="en-US"/>
              </w:rPr>
            </w:pPr>
            <w:r w:rsidRPr="001209C5">
              <w:rPr>
                <w:szCs w:val="24"/>
                <w:lang w:eastAsia="en-US"/>
              </w:rPr>
              <w:lastRenderedPageBreak/>
              <w:t>žemės sklypo su statiniais geodezinių nuotraukų atlikimas;</w:t>
            </w:r>
          </w:p>
          <w:p w:rsidR="001209C5" w:rsidRPr="001209C5" w:rsidRDefault="001209C5" w:rsidP="003E107D">
            <w:pPr>
              <w:numPr>
                <w:ilvl w:val="0"/>
                <w:numId w:val="12"/>
              </w:numPr>
              <w:tabs>
                <w:tab w:val="left" w:pos="335"/>
              </w:tabs>
              <w:contextualSpacing/>
              <w:jc w:val="both"/>
              <w:rPr>
                <w:szCs w:val="24"/>
                <w:lang w:eastAsia="en-US"/>
              </w:rPr>
            </w:pPr>
            <w:r w:rsidRPr="001209C5">
              <w:rPr>
                <w:szCs w:val="24"/>
                <w:lang w:eastAsia="en-US"/>
              </w:rPr>
              <w:t>požeminių inžinerinių tinklų geodezinių nuotraukų atlikimas;</w:t>
            </w:r>
          </w:p>
          <w:p w:rsidR="001209C5" w:rsidRPr="001209C5" w:rsidRDefault="001209C5" w:rsidP="003E107D">
            <w:pPr>
              <w:numPr>
                <w:ilvl w:val="0"/>
                <w:numId w:val="12"/>
              </w:numPr>
              <w:tabs>
                <w:tab w:val="left" w:pos="335"/>
              </w:tabs>
              <w:contextualSpacing/>
              <w:jc w:val="both"/>
              <w:rPr>
                <w:szCs w:val="24"/>
                <w:lang w:eastAsia="en-US"/>
              </w:rPr>
            </w:pPr>
            <w:r w:rsidRPr="001209C5">
              <w:rPr>
                <w:szCs w:val="24"/>
                <w:lang w:eastAsia="en-US"/>
              </w:rPr>
              <w:t>technologinių inžinerinių sistemų ir statinio inžinerinių sistemų išbandymas su ataskaitų pateikimu ir naudotojo personalo apmokymas, tame tarpe ir inžinerinių tinklų TV apžiūra ir ataskaitų pateikimas;</w:t>
            </w:r>
          </w:p>
          <w:p w:rsidR="001209C5" w:rsidRPr="001209C5" w:rsidRDefault="001209C5" w:rsidP="003E107D">
            <w:pPr>
              <w:numPr>
                <w:ilvl w:val="0"/>
                <w:numId w:val="12"/>
              </w:numPr>
              <w:tabs>
                <w:tab w:val="left" w:pos="335"/>
              </w:tabs>
              <w:contextualSpacing/>
              <w:jc w:val="both"/>
              <w:rPr>
                <w:szCs w:val="24"/>
                <w:lang w:eastAsia="en-US"/>
              </w:rPr>
            </w:pPr>
            <w:r w:rsidRPr="001209C5">
              <w:rPr>
                <w:szCs w:val="24"/>
                <w:lang w:eastAsia="en-US"/>
              </w:rPr>
              <w:t>energetikos inspekcijos prie Energetikos ministerijos pažymos apie energetikos įrenginių techninės būklės patikrinimą užbaigus jų montavimo, paleidimo – derinimo darbus;</w:t>
            </w:r>
          </w:p>
          <w:p w:rsidR="001209C5" w:rsidRPr="001209C5" w:rsidRDefault="001209C5" w:rsidP="003E107D">
            <w:pPr>
              <w:numPr>
                <w:ilvl w:val="0"/>
                <w:numId w:val="12"/>
              </w:numPr>
              <w:tabs>
                <w:tab w:val="left" w:pos="335"/>
              </w:tabs>
              <w:contextualSpacing/>
              <w:jc w:val="both"/>
              <w:rPr>
                <w:szCs w:val="24"/>
                <w:lang w:eastAsia="en-US"/>
              </w:rPr>
            </w:pPr>
            <w:r w:rsidRPr="001209C5">
              <w:rPr>
                <w:szCs w:val="24"/>
                <w:lang w:eastAsia="en-US"/>
              </w:rPr>
              <w:t>apšvietimo matavimų atlikimas;</w:t>
            </w:r>
          </w:p>
          <w:p w:rsidR="001209C5" w:rsidRPr="001209C5" w:rsidRDefault="001209C5" w:rsidP="003E107D">
            <w:pPr>
              <w:numPr>
                <w:ilvl w:val="0"/>
                <w:numId w:val="12"/>
              </w:numPr>
              <w:tabs>
                <w:tab w:val="left" w:pos="335"/>
              </w:tabs>
              <w:contextualSpacing/>
              <w:jc w:val="both"/>
              <w:rPr>
                <w:szCs w:val="24"/>
                <w:lang w:eastAsia="en-US"/>
              </w:rPr>
            </w:pPr>
            <w:r w:rsidRPr="001209C5">
              <w:rPr>
                <w:szCs w:val="24"/>
                <w:lang w:eastAsia="en-US"/>
              </w:rPr>
              <w:t>visos reikiamos dokumentacijos pagal STR 1.11.01:2010 „Statybos užbaigimas“ 3 priedą sukomplektavimas ir pateikimas Statytojui;</w:t>
            </w:r>
          </w:p>
          <w:p w:rsidR="001209C5" w:rsidRPr="001209C5" w:rsidRDefault="001209C5" w:rsidP="003E107D">
            <w:pPr>
              <w:numPr>
                <w:ilvl w:val="0"/>
                <w:numId w:val="12"/>
              </w:numPr>
              <w:tabs>
                <w:tab w:val="left" w:pos="335"/>
                <w:tab w:val="left" w:pos="371"/>
              </w:tabs>
              <w:jc w:val="both"/>
              <w:rPr>
                <w:szCs w:val="24"/>
              </w:rPr>
            </w:pPr>
            <w:r w:rsidRPr="001209C5">
              <w:rPr>
                <w:szCs w:val="24"/>
              </w:rPr>
              <w:t>statybinių medžiagų, gaminių, paslėptų darbų kokybės tyrimai (rangovo savikontrolė), pateikiant  Statytojui (jo atstovui) ataskaitas;</w:t>
            </w:r>
          </w:p>
          <w:p w:rsidR="001209C5" w:rsidRPr="001209C5" w:rsidRDefault="001209C5" w:rsidP="003E107D">
            <w:pPr>
              <w:numPr>
                <w:ilvl w:val="0"/>
                <w:numId w:val="12"/>
              </w:numPr>
              <w:tabs>
                <w:tab w:val="left" w:pos="335"/>
              </w:tabs>
              <w:contextualSpacing/>
              <w:jc w:val="both"/>
              <w:rPr>
                <w:szCs w:val="24"/>
                <w:lang w:eastAsia="en-US"/>
              </w:rPr>
            </w:pPr>
            <w:r w:rsidRPr="001209C5">
              <w:rPr>
                <w:szCs w:val="24"/>
                <w:lang w:eastAsia="en-US"/>
              </w:rPr>
              <w:t>visa reikalinga išpildomoji dokumentacija objekto pridavimui įteisinti;</w:t>
            </w:r>
          </w:p>
          <w:p w:rsidR="001209C5" w:rsidRPr="001209C5" w:rsidRDefault="001209C5" w:rsidP="003E107D">
            <w:pPr>
              <w:numPr>
                <w:ilvl w:val="0"/>
                <w:numId w:val="12"/>
              </w:numPr>
              <w:tabs>
                <w:tab w:val="left" w:pos="335"/>
              </w:tabs>
              <w:contextualSpacing/>
              <w:jc w:val="both"/>
              <w:rPr>
                <w:szCs w:val="24"/>
                <w:lang w:eastAsia="en-US"/>
              </w:rPr>
            </w:pPr>
            <w:r w:rsidRPr="001209C5">
              <w:rPr>
                <w:szCs w:val="24"/>
                <w:lang w:eastAsia="en-US"/>
              </w:rPr>
              <w:t>nekilnojamojo daikto kadastro duomenų bylų parengimas/ patikslinimas/ papildymas su kadastro tvarkytojo išankstine patikra ir suderinimas su Registro centru;</w:t>
            </w:r>
          </w:p>
          <w:p w:rsidR="001209C5" w:rsidRPr="001209C5" w:rsidRDefault="001209C5" w:rsidP="003E107D">
            <w:pPr>
              <w:numPr>
                <w:ilvl w:val="0"/>
                <w:numId w:val="12"/>
              </w:numPr>
              <w:tabs>
                <w:tab w:val="left" w:pos="335"/>
              </w:tabs>
              <w:jc w:val="both"/>
              <w:rPr>
                <w:szCs w:val="24"/>
                <w:lang w:eastAsia="en-US"/>
              </w:rPr>
            </w:pPr>
            <w:r w:rsidRPr="001209C5">
              <w:rPr>
                <w:szCs w:val="24"/>
                <w:lang w:eastAsia="en-US"/>
              </w:rPr>
              <w:t>pateikti suderintą su Klaipėdos m. sav., GIS skyriumi geodezinę (topografinę) nuotrauką atlikus visus statybinius darbus;</w:t>
            </w:r>
          </w:p>
          <w:p w:rsidR="001209C5" w:rsidRPr="001209C5" w:rsidRDefault="001209C5" w:rsidP="003E107D">
            <w:pPr>
              <w:numPr>
                <w:ilvl w:val="0"/>
                <w:numId w:val="12"/>
              </w:numPr>
              <w:tabs>
                <w:tab w:val="left" w:pos="335"/>
              </w:tabs>
              <w:jc w:val="both"/>
              <w:rPr>
                <w:szCs w:val="24"/>
                <w:lang w:eastAsia="en-US"/>
              </w:rPr>
            </w:pPr>
            <w:r w:rsidRPr="001209C5">
              <w:rPr>
                <w:szCs w:val="24"/>
                <w:lang w:eastAsia="en-US"/>
              </w:rPr>
              <w:t>žemės sklypo kadastro duomenų pakeitimas (jei reikia);</w:t>
            </w:r>
          </w:p>
          <w:p w:rsidR="001209C5" w:rsidRPr="001209C5" w:rsidRDefault="001209C5" w:rsidP="003E107D">
            <w:pPr>
              <w:numPr>
                <w:ilvl w:val="0"/>
                <w:numId w:val="12"/>
              </w:numPr>
              <w:tabs>
                <w:tab w:val="left" w:pos="335"/>
              </w:tabs>
              <w:jc w:val="both"/>
              <w:rPr>
                <w:szCs w:val="24"/>
                <w:lang w:eastAsia="en-US"/>
              </w:rPr>
            </w:pPr>
            <w:r w:rsidRPr="001209C5">
              <w:rPr>
                <w:szCs w:val="24"/>
                <w:lang w:eastAsia="en-US"/>
              </w:rPr>
              <w:t>apmokėjimas už Statybos užbaigimo akto ar Deklaracijos išdavimą, teikiant dokumentaciją per „Infostatybą“;</w:t>
            </w:r>
          </w:p>
          <w:p w:rsidR="001209C5" w:rsidRPr="001209C5" w:rsidRDefault="001209C5" w:rsidP="003E107D">
            <w:pPr>
              <w:numPr>
                <w:ilvl w:val="0"/>
                <w:numId w:val="12"/>
              </w:numPr>
              <w:tabs>
                <w:tab w:val="left" w:pos="335"/>
              </w:tabs>
              <w:jc w:val="both"/>
              <w:rPr>
                <w:szCs w:val="24"/>
                <w:lang w:eastAsia="en-US"/>
              </w:rPr>
            </w:pPr>
            <w:r w:rsidRPr="001209C5">
              <w:rPr>
                <w:szCs w:val="24"/>
                <w:lang w:eastAsia="en-US"/>
              </w:rPr>
              <w:t>derinti tarpusavio statybos darbus su AB LESTO elektros tinklų statybos rangovu;</w:t>
            </w:r>
          </w:p>
          <w:p w:rsidR="001209C5" w:rsidRPr="001209C5" w:rsidRDefault="001209C5" w:rsidP="003E107D">
            <w:pPr>
              <w:numPr>
                <w:ilvl w:val="0"/>
                <w:numId w:val="12"/>
              </w:numPr>
              <w:tabs>
                <w:tab w:val="left" w:pos="335"/>
              </w:tabs>
              <w:jc w:val="both"/>
              <w:rPr>
                <w:szCs w:val="24"/>
                <w:lang w:eastAsia="en-US"/>
              </w:rPr>
            </w:pPr>
            <w:r w:rsidRPr="001209C5">
              <w:rPr>
                <w:szCs w:val="24"/>
                <w:lang w:eastAsia="en-US"/>
              </w:rPr>
              <w:t>paskirti asmenį atsakingą už energetinį ūkį iki objekto pridavimo (iki Statybos užbaigimo akto ar Deklaracijos pasirašymo).</w:t>
            </w:r>
          </w:p>
        </w:tc>
      </w:tr>
      <w:tr w:rsidR="001209C5" w:rsidRPr="001209C5" w:rsidTr="003E107D">
        <w:trPr>
          <w:trHeight w:val="384"/>
        </w:trPr>
        <w:tc>
          <w:tcPr>
            <w:tcW w:w="9634" w:type="dxa"/>
            <w:gridSpan w:val="3"/>
          </w:tcPr>
          <w:p w:rsidR="001209C5" w:rsidRPr="001209C5" w:rsidRDefault="001209C5" w:rsidP="003E107D">
            <w:pPr>
              <w:tabs>
                <w:tab w:val="num" w:pos="-86"/>
                <w:tab w:val="left" w:pos="-33"/>
                <w:tab w:val="left" w:pos="335"/>
              </w:tabs>
              <w:contextualSpacing/>
              <w:jc w:val="both"/>
              <w:rPr>
                <w:b/>
                <w:szCs w:val="24"/>
                <w:highlight w:val="yellow"/>
                <w:lang w:eastAsia="en-US"/>
              </w:rPr>
            </w:pPr>
            <w:r w:rsidRPr="001209C5">
              <w:rPr>
                <w:b/>
                <w:szCs w:val="24"/>
                <w:lang w:eastAsia="en-US"/>
              </w:rPr>
              <w:lastRenderedPageBreak/>
              <w:t>3. Kiti reikalavimai:</w:t>
            </w:r>
          </w:p>
        </w:tc>
      </w:tr>
      <w:tr w:rsidR="001209C5" w:rsidRPr="001209C5" w:rsidTr="003E107D">
        <w:tc>
          <w:tcPr>
            <w:tcW w:w="669" w:type="dxa"/>
          </w:tcPr>
          <w:p w:rsidR="001209C5" w:rsidRPr="001209C5" w:rsidRDefault="001209C5" w:rsidP="003E107D">
            <w:pPr>
              <w:rPr>
                <w:szCs w:val="24"/>
                <w:lang w:eastAsia="en-US"/>
              </w:rPr>
            </w:pPr>
            <w:r w:rsidRPr="001209C5">
              <w:rPr>
                <w:szCs w:val="24"/>
              </w:rPr>
              <w:t>3.1.</w:t>
            </w:r>
          </w:p>
        </w:tc>
        <w:tc>
          <w:tcPr>
            <w:tcW w:w="1736" w:type="dxa"/>
          </w:tcPr>
          <w:p w:rsidR="001209C5" w:rsidRPr="001209C5" w:rsidRDefault="001209C5" w:rsidP="003E107D">
            <w:pPr>
              <w:rPr>
                <w:szCs w:val="24"/>
                <w:lang w:eastAsia="en-US"/>
              </w:rPr>
            </w:pPr>
            <w:r w:rsidRPr="001209C5">
              <w:rPr>
                <w:szCs w:val="24"/>
              </w:rPr>
              <w:t xml:space="preserve">Darbų vykdymo grafikas </w:t>
            </w:r>
          </w:p>
        </w:tc>
        <w:tc>
          <w:tcPr>
            <w:tcW w:w="7229" w:type="dxa"/>
          </w:tcPr>
          <w:p w:rsidR="001209C5" w:rsidRPr="001209C5" w:rsidRDefault="001209C5" w:rsidP="003E107D">
            <w:pPr>
              <w:tabs>
                <w:tab w:val="num" w:pos="-86"/>
                <w:tab w:val="left" w:pos="335"/>
              </w:tabs>
              <w:jc w:val="both"/>
              <w:rPr>
                <w:szCs w:val="24"/>
              </w:rPr>
            </w:pPr>
            <w:r w:rsidRPr="001209C5">
              <w:rPr>
                <w:szCs w:val="24"/>
              </w:rPr>
              <w:t>Pasirašius rangos sutartį per 5 darbo dienas pateikti su Užsakovu suderintą kalendorinį įkainotą darbų atlikimo grafiką, kuriame nurodyti darbų atlikimo trukmę ir kainą. Taip pat po sutarties pasirašymo per 10 darbo dienų pateikti objektines ir lokalines sąmatas.</w:t>
            </w:r>
          </w:p>
        </w:tc>
      </w:tr>
      <w:tr w:rsidR="001209C5" w:rsidRPr="001209C5" w:rsidTr="003E107D">
        <w:tc>
          <w:tcPr>
            <w:tcW w:w="669" w:type="dxa"/>
          </w:tcPr>
          <w:p w:rsidR="001209C5" w:rsidRPr="001209C5" w:rsidRDefault="001209C5" w:rsidP="003E107D">
            <w:pPr>
              <w:rPr>
                <w:szCs w:val="24"/>
              </w:rPr>
            </w:pPr>
            <w:r w:rsidRPr="001209C5">
              <w:rPr>
                <w:szCs w:val="24"/>
              </w:rPr>
              <w:t>3.2.</w:t>
            </w:r>
          </w:p>
        </w:tc>
        <w:tc>
          <w:tcPr>
            <w:tcW w:w="1736" w:type="dxa"/>
          </w:tcPr>
          <w:p w:rsidR="001209C5" w:rsidRPr="001209C5" w:rsidRDefault="001209C5" w:rsidP="003E107D">
            <w:pPr>
              <w:rPr>
                <w:szCs w:val="24"/>
                <w:lang w:eastAsia="en-US"/>
              </w:rPr>
            </w:pPr>
            <w:r w:rsidRPr="001209C5">
              <w:rPr>
                <w:szCs w:val="24"/>
                <w:lang w:eastAsia="en-US"/>
              </w:rPr>
              <w:t xml:space="preserve">Papildomi reikalavimai </w:t>
            </w:r>
          </w:p>
        </w:tc>
        <w:tc>
          <w:tcPr>
            <w:tcW w:w="7229" w:type="dxa"/>
          </w:tcPr>
          <w:p w:rsidR="001209C5" w:rsidRPr="001209C5" w:rsidRDefault="001209C5" w:rsidP="003E107D">
            <w:pPr>
              <w:tabs>
                <w:tab w:val="left" w:pos="335"/>
              </w:tabs>
              <w:contextualSpacing/>
              <w:jc w:val="both"/>
              <w:rPr>
                <w:szCs w:val="24"/>
                <w:lang w:eastAsia="en-US"/>
              </w:rPr>
            </w:pPr>
            <w:r w:rsidRPr="001209C5">
              <w:rPr>
                <w:szCs w:val="24"/>
                <w:lang w:eastAsia="en-US"/>
              </w:rPr>
              <w:t>- Tiekėjas privalo netrukdyti dirbti specialistams, vykdantiems techninę, valstybinę priežiūrą bei atsižvelgti į jų teikiamas pastabas ir reikalavimus;</w:t>
            </w:r>
          </w:p>
          <w:p w:rsidR="001209C5" w:rsidRPr="001209C5" w:rsidRDefault="001209C5" w:rsidP="003E107D">
            <w:pPr>
              <w:tabs>
                <w:tab w:val="left" w:pos="335"/>
              </w:tabs>
              <w:contextualSpacing/>
              <w:jc w:val="both"/>
              <w:rPr>
                <w:szCs w:val="24"/>
                <w:lang w:eastAsia="en-US"/>
              </w:rPr>
            </w:pPr>
            <w:r w:rsidRPr="001209C5">
              <w:rPr>
                <w:szCs w:val="24"/>
                <w:lang w:eastAsia="en-US"/>
              </w:rPr>
              <w:t>-  tinkamai  ir saugiai įrengti statybvietę, turėti įrengtas patalpas joje  su galimybe organizuoti gamybinius pasitarimus;</w:t>
            </w:r>
          </w:p>
          <w:p w:rsidR="001209C5" w:rsidRPr="001209C5" w:rsidRDefault="001209C5" w:rsidP="003E107D">
            <w:pPr>
              <w:tabs>
                <w:tab w:val="left" w:pos="335"/>
              </w:tabs>
              <w:contextualSpacing/>
              <w:jc w:val="both"/>
              <w:rPr>
                <w:rFonts w:eastAsia="Calibri"/>
                <w:szCs w:val="24"/>
                <w:lang w:eastAsia="en-US"/>
              </w:rPr>
            </w:pPr>
            <w:r w:rsidRPr="001209C5">
              <w:rPr>
                <w:szCs w:val="24"/>
                <w:lang w:eastAsia="en-US"/>
              </w:rPr>
              <w:t>- laikytis darbo saugos reikalavimų, užtikrinti saugumą žmonių sveikatai ir aplinkai,</w:t>
            </w:r>
            <w:r w:rsidRPr="001209C5">
              <w:rPr>
                <w:rFonts w:ascii="Calibri" w:eastAsia="Calibri" w:hAnsi="Calibri"/>
                <w:szCs w:val="24"/>
                <w:lang w:eastAsia="en-US"/>
              </w:rPr>
              <w:t xml:space="preserve"> </w:t>
            </w:r>
            <w:r w:rsidRPr="001209C5">
              <w:rPr>
                <w:rFonts w:eastAsia="Calibri"/>
                <w:szCs w:val="24"/>
                <w:lang w:eastAsia="en-US"/>
              </w:rPr>
              <w:t>nepažeisti trečiųjų asmenų interesų;</w:t>
            </w:r>
          </w:p>
          <w:p w:rsidR="001209C5" w:rsidRPr="001209C5" w:rsidRDefault="001209C5" w:rsidP="003E107D">
            <w:pPr>
              <w:tabs>
                <w:tab w:val="left" w:pos="335"/>
              </w:tabs>
              <w:contextualSpacing/>
              <w:jc w:val="both"/>
              <w:rPr>
                <w:szCs w:val="24"/>
                <w:lang w:eastAsia="en-US"/>
              </w:rPr>
            </w:pPr>
            <w:r w:rsidRPr="001209C5">
              <w:rPr>
                <w:szCs w:val="24"/>
                <w:lang w:eastAsia="en-US"/>
              </w:rPr>
              <w:lastRenderedPageBreak/>
              <w:t>-  darbų vykdymo eigoje susidariusias atliekas tvarkyti laikantis visų galiojančių įstatymų, Klaipėdos miesto atliekų tvarkymo taisyklių, patvirtintų Klaipėdos miesto savivaldybės tarybos 2011-11-24 sprendimu Nr. T2-370 (Nuoroda – Klaipėdos miesto savivaldybės komunalinių atliekų tvarkymo taisyklės).</w:t>
            </w:r>
          </w:p>
        </w:tc>
      </w:tr>
      <w:tr w:rsidR="001209C5" w:rsidRPr="001209C5" w:rsidTr="003E107D">
        <w:trPr>
          <w:trHeight w:val="305"/>
        </w:trPr>
        <w:tc>
          <w:tcPr>
            <w:tcW w:w="669" w:type="dxa"/>
          </w:tcPr>
          <w:p w:rsidR="001209C5" w:rsidRPr="001209C5" w:rsidRDefault="001209C5" w:rsidP="003E107D">
            <w:pPr>
              <w:rPr>
                <w:szCs w:val="24"/>
              </w:rPr>
            </w:pPr>
            <w:r w:rsidRPr="001209C5">
              <w:rPr>
                <w:szCs w:val="24"/>
              </w:rPr>
              <w:lastRenderedPageBreak/>
              <w:t>3.3.</w:t>
            </w:r>
          </w:p>
        </w:tc>
        <w:tc>
          <w:tcPr>
            <w:tcW w:w="1736" w:type="dxa"/>
          </w:tcPr>
          <w:p w:rsidR="001209C5" w:rsidRPr="001209C5" w:rsidRDefault="001209C5" w:rsidP="003E107D">
            <w:pPr>
              <w:rPr>
                <w:szCs w:val="24"/>
                <w:lang w:eastAsia="en-US"/>
              </w:rPr>
            </w:pPr>
            <w:r w:rsidRPr="001209C5">
              <w:rPr>
                <w:szCs w:val="24"/>
                <w:shd w:val="clear" w:color="auto" w:fill="FFFFFF"/>
                <w:lang w:eastAsia="en-US"/>
              </w:rPr>
              <w:t>Kita informacija</w:t>
            </w:r>
          </w:p>
        </w:tc>
        <w:tc>
          <w:tcPr>
            <w:tcW w:w="7229" w:type="dxa"/>
          </w:tcPr>
          <w:p w:rsidR="001209C5" w:rsidRPr="001209C5" w:rsidRDefault="001209C5" w:rsidP="003E107D">
            <w:pPr>
              <w:tabs>
                <w:tab w:val="left" w:pos="335"/>
                <w:tab w:val="left" w:pos="400"/>
                <w:tab w:val="left" w:pos="535"/>
              </w:tabs>
              <w:autoSpaceDE w:val="0"/>
              <w:autoSpaceDN w:val="0"/>
              <w:adjustRightInd w:val="0"/>
              <w:spacing w:after="120"/>
              <w:jc w:val="both"/>
              <w:rPr>
                <w:b/>
                <w:i/>
                <w:szCs w:val="24"/>
                <w:lang w:eastAsia="en-US"/>
              </w:rPr>
            </w:pPr>
            <w:r w:rsidRPr="001209C5">
              <w:rPr>
                <w:rFonts w:eastAsia="Calibri"/>
                <w:szCs w:val="24"/>
                <w:lang w:eastAsia="en-US"/>
              </w:rPr>
              <w:t xml:space="preserve">Papildoma informacija teikiama Klaipėdos miesto savivaldybėje, Liepų g. 11, Klaipėdoje, 102 kab. Kontaktinis asmuo: Statybos ir infrastruktūros plėtros skyriaus vyr. specialistas Vytautas Kovaitis, tel. (8 46) 39 63 17, </w:t>
            </w:r>
            <w:r w:rsidRPr="001209C5">
              <w:rPr>
                <w:szCs w:val="24"/>
              </w:rPr>
              <w:t>el. p. </w:t>
            </w:r>
            <w:r w:rsidRPr="001209C5">
              <w:rPr>
                <w:szCs w:val="24"/>
                <w:u w:val="single"/>
              </w:rPr>
              <w:t>vytautas.kovaitis@klaipeda.lt</w:t>
            </w:r>
            <w:r w:rsidRPr="001209C5">
              <w:rPr>
                <w:szCs w:val="24"/>
              </w:rPr>
              <w:t>.</w:t>
            </w:r>
          </w:p>
        </w:tc>
      </w:tr>
    </w:tbl>
    <w:p w:rsidR="001209C5" w:rsidRPr="001209C5" w:rsidRDefault="001209C5" w:rsidP="001209C5">
      <w:pPr>
        <w:jc w:val="both"/>
        <w:rPr>
          <w:szCs w:val="24"/>
          <w:lang w:eastAsia="en-US"/>
        </w:rPr>
      </w:pPr>
    </w:p>
    <w:p w:rsidR="001209C5" w:rsidRPr="001209C5" w:rsidRDefault="001209C5" w:rsidP="001209C5">
      <w:pPr>
        <w:jc w:val="both"/>
        <w:rPr>
          <w:szCs w:val="24"/>
          <w:lang w:eastAsia="en-US"/>
        </w:rPr>
      </w:pPr>
    </w:p>
    <w:p w:rsidR="001209C5" w:rsidRPr="001209C5" w:rsidRDefault="001209C5" w:rsidP="001209C5">
      <w:pPr>
        <w:ind w:right="-178"/>
        <w:jc w:val="center"/>
        <w:rPr>
          <w:rFonts w:eastAsia="Calibri"/>
          <w:szCs w:val="24"/>
          <w:lang w:eastAsia="en-US"/>
        </w:rPr>
      </w:pPr>
      <w:r w:rsidRPr="001209C5">
        <w:rPr>
          <w:rFonts w:eastAsia="Calibri"/>
          <w:szCs w:val="24"/>
          <w:lang w:eastAsia="en-US"/>
        </w:rPr>
        <w:t>___________________________</w:t>
      </w:r>
    </w:p>
    <w:p w:rsidR="001209C5" w:rsidRPr="00904DE2" w:rsidRDefault="001209C5" w:rsidP="001209C5">
      <w:pPr>
        <w:pStyle w:val="Pagrindinistekstas"/>
        <w:jc w:val="center"/>
      </w:pPr>
    </w:p>
    <w:p w:rsidR="006C290C" w:rsidRPr="001209C5" w:rsidRDefault="006C290C" w:rsidP="001209C5"/>
    <w:sectPr w:rsidR="006C290C" w:rsidRPr="001209C5" w:rsidSect="00BB56AF">
      <w:headerReference w:type="default" r:id="rId7"/>
      <w:pgSz w:w="11907" w:h="16839" w:code="9"/>
      <w:pgMar w:top="1134" w:right="567" w:bottom="1134" w:left="1701" w:header="709" w:footer="1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1A6" w:rsidRDefault="002441A6" w:rsidP="00F41647">
      <w:r>
        <w:separator/>
      </w:r>
    </w:p>
  </w:endnote>
  <w:endnote w:type="continuationSeparator" w:id="0">
    <w:p w:rsidR="002441A6" w:rsidRDefault="002441A6" w:rsidP="00F41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TimesLT">
    <w:altName w:val="Times New Roman"/>
    <w:charset w:val="BA"/>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1A6" w:rsidRDefault="002441A6" w:rsidP="00F41647">
      <w:r>
        <w:separator/>
      </w:r>
    </w:p>
  </w:footnote>
  <w:footnote w:type="continuationSeparator" w:id="0">
    <w:p w:rsidR="002441A6" w:rsidRDefault="002441A6" w:rsidP="00F416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9533565"/>
      <w:docPartObj>
        <w:docPartGallery w:val="Page Numbers (Top of Page)"/>
        <w:docPartUnique/>
      </w:docPartObj>
    </w:sdtPr>
    <w:sdtEndPr/>
    <w:sdtContent>
      <w:p w:rsidR="00BB56AF" w:rsidRDefault="00BB56AF">
        <w:pPr>
          <w:pStyle w:val="Antrats"/>
          <w:jc w:val="center"/>
        </w:pPr>
        <w:r>
          <w:fldChar w:fldCharType="begin"/>
        </w:r>
        <w:r>
          <w:instrText>PAGE   \* MERGEFORMAT</w:instrText>
        </w:r>
        <w:r>
          <w:fldChar w:fldCharType="separate"/>
        </w:r>
        <w:r w:rsidR="00672DF0">
          <w:rPr>
            <w:noProof/>
          </w:rPr>
          <w:t>3</w:t>
        </w:r>
        <w:r>
          <w:fldChar w:fldCharType="end"/>
        </w:r>
      </w:p>
    </w:sdtContent>
  </w:sdt>
  <w:p w:rsidR="006C290C" w:rsidRDefault="006C290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4C283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99EFBC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00027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5A17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88AC4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B108A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5745B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5281D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B215E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086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0E92034"/>
    <w:multiLevelType w:val="multilevel"/>
    <w:tmpl w:val="ABDEF7D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ascii="Times New Roman" w:hAnsi="Times New Roman" w:cs="Times New Roman" w:hint="default"/>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7EB1119F"/>
    <w:multiLevelType w:val="hybridMultilevel"/>
    <w:tmpl w:val="0AF0F47E"/>
    <w:lvl w:ilvl="0" w:tplc="440AB5EE">
      <w:numFmt w:val="bullet"/>
      <w:lvlText w:val="-"/>
      <w:lvlJc w:val="left"/>
      <w:pPr>
        <w:ind w:left="2486" w:hanging="360"/>
      </w:pPr>
      <w:rPr>
        <w:rFonts w:ascii="Times New Roman" w:eastAsia="Calibri" w:hAnsi="Times New Roman" w:cs="Times New Roman" w:hint="default"/>
      </w:rPr>
    </w:lvl>
    <w:lvl w:ilvl="1" w:tplc="04270003" w:tentative="1">
      <w:start w:val="1"/>
      <w:numFmt w:val="bullet"/>
      <w:lvlText w:val="o"/>
      <w:lvlJc w:val="left"/>
      <w:pPr>
        <w:ind w:left="3206" w:hanging="360"/>
      </w:pPr>
      <w:rPr>
        <w:rFonts w:ascii="Courier New" w:hAnsi="Courier New" w:cs="Courier New" w:hint="default"/>
      </w:rPr>
    </w:lvl>
    <w:lvl w:ilvl="2" w:tplc="04270005" w:tentative="1">
      <w:start w:val="1"/>
      <w:numFmt w:val="bullet"/>
      <w:lvlText w:val=""/>
      <w:lvlJc w:val="left"/>
      <w:pPr>
        <w:ind w:left="3926" w:hanging="360"/>
      </w:pPr>
      <w:rPr>
        <w:rFonts w:ascii="Wingdings" w:hAnsi="Wingdings" w:hint="default"/>
      </w:rPr>
    </w:lvl>
    <w:lvl w:ilvl="3" w:tplc="04270001" w:tentative="1">
      <w:start w:val="1"/>
      <w:numFmt w:val="bullet"/>
      <w:lvlText w:val=""/>
      <w:lvlJc w:val="left"/>
      <w:pPr>
        <w:ind w:left="4646" w:hanging="360"/>
      </w:pPr>
      <w:rPr>
        <w:rFonts w:ascii="Symbol" w:hAnsi="Symbol" w:hint="default"/>
      </w:rPr>
    </w:lvl>
    <w:lvl w:ilvl="4" w:tplc="04270003" w:tentative="1">
      <w:start w:val="1"/>
      <w:numFmt w:val="bullet"/>
      <w:lvlText w:val="o"/>
      <w:lvlJc w:val="left"/>
      <w:pPr>
        <w:ind w:left="5366" w:hanging="360"/>
      </w:pPr>
      <w:rPr>
        <w:rFonts w:ascii="Courier New" w:hAnsi="Courier New" w:cs="Courier New" w:hint="default"/>
      </w:rPr>
    </w:lvl>
    <w:lvl w:ilvl="5" w:tplc="04270005" w:tentative="1">
      <w:start w:val="1"/>
      <w:numFmt w:val="bullet"/>
      <w:lvlText w:val=""/>
      <w:lvlJc w:val="left"/>
      <w:pPr>
        <w:ind w:left="6086" w:hanging="360"/>
      </w:pPr>
      <w:rPr>
        <w:rFonts w:ascii="Wingdings" w:hAnsi="Wingdings" w:hint="default"/>
      </w:rPr>
    </w:lvl>
    <w:lvl w:ilvl="6" w:tplc="04270001" w:tentative="1">
      <w:start w:val="1"/>
      <w:numFmt w:val="bullet"/>
      <w:lvlText w:val=""/>
      <w:lvlJc w:val="left"/>
      <w:pPr>
        <w:ind w:left="6806" w:hanging="360"/>
      </w:pPr>
      <w:rPr>
        <w:rFonts w:ascii="Symbol" w:hAnsi="Symbol" w:hint="default"/>
      </w:rPr>
    </w:lvl>
    <w:lvl w:ilvl="7" w:tplc="04270003" w:tentative="1">
      <w:start w:val="1"/>
      <w:numFmt w:val="bullet"/>
      <w:lvlText w:val="o"/>
      <w:lvlJc w:val="left"/>
      <w:pPr>
        <w:ind w:left="7526" w:hanging="360"/>
      </w:pPr>
      <w:rPr>
        <w:rFonts w:ascii="Courier New" w:hAnsi="Courier New" w:cs="Courier New" w:hint="default"/>
      </w:rPr>
    </w:lvl>
    <w:lvl w:ilvl="8" w:tplc="04270005" w:tentative="1">
      <w:start w:val="1"/>
      <w:numFmt w:val="bullet"/>
      <w:lvlText w:val=""/>
      <w:lvlJc w:val="left"/>
      <w:pPr>
        <w:ind w:left="8246"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396"/>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AD"/>
    <w:rsid w:val="00024730"/>
    <w:rsid w:val="000944BF"/>
    <w:rsid w:val="000E6C34"/>
    <w:rsid w:val="001209C5"/>
    <w:rsid w:val="001444C8"/>
    <w:rsid w:val="00163473"/>
    <w:rsid w:val="001B01B1"/>
    <w:rsid w:val="001D1AE7"/>
    <w:rsid w:val="00237B69"/>
    <w:rsid w:val="00242B88"/>
    <w:rsid w:val="002441A6"/>
    <w:rsid w:val="00291226"/>
    <w:rsid w:val="00324750"/>
    <w:rsid w:val="00336800"/>
    <w:rsid w:val="003452FA"/>
    <w:rsid w:val="00347F54"/>
    <w:rsid w:val="003677E4"/>
    <w:rsid w:val="00384543"/>
    <w:rsid w:val="003A2633"/>
    <w:rsid w:val="003A3546"/>
    <w:rsid w:val="003A7A13"/>
    <w:rsid w:val="003B0332"/>
    <w:rsid w:val="003C09F9"/>
    <w:rsid w:val="003E5D65"/>
    <w:rsid w:val="003E603A"/>
    <w:rsid w:val="003F362A"/>
    <w:rsid w:val="00405B54"/>
    <w:rsid w:val="00417564"/>
    <w:rsid w:val="00433CCC"/>
    <w:rsid w:val="004545AD"/>
    <w:rsid w:val="00472954"/>
    <w:rsid w:val="004800C4"/>
    <w:rsid w:val="005C29DF"/>
    <w:rsid w:val="005C6161"/>
    <w:rsid w:val="00606132"/>
    <w:rsid w:val="00672DF0"/>
    <w:rsid w:val="00686EFB"/>
    <w:rsid w:val="006C290C"/>
    <w:rsid w:val="006E106A"/>
    <w:rsid w:val="006E626E"/>
    <w:rsid w:val="006F416F"/>
    <w:rsid w:val="006F4715"/>
    <w:rsid w:val="00710820"/>
    <w:rsid w:val="007349C1"/>
    <w:rsid w:val="007775F7"/>
    <w:rsid w:val="00780782"/>
    <w:rsid w:val="00801E4F"/>
    <w:rsid w:val="008623E9"/>
    <w:rsid w:val="00864F6F"/>
    <w:rsid w:val="008C6BDA"/>
    <w:rsid w:val="008D69DD"/>
    <w:rsid w:val="008E0921"/>
    <w:rsid w:val="008E16E5"/>
    <w:rsid w:val="008F665C"/>
    <w:rsid w:val="00904DE2"/>
    <w:rsid w:val="00932DDD"/>
    <w:rsid w:val="009468D1"/>
    <w:rsid w:val="00A3260E"/>
    <w:rsid w:val="00A44DC7"/>
    <w:rsid w:val="00A56070"/>
    <w:rsid w:val="00A8670A"/>
    <w:rsid w:val="00A86BCE"/>
    <w:rsid w:val="00A9592B"/>
    <w:rsid w:val="00A968CB"/>
    <w:rsid w:val="00AA5DFD"/>
    <w:rsid w:val="00AD2EE1"/>
    <w:rsid w:val="00B40258"/>
    <w:rsid w:val="00B7320C"/>
    <w:rsid w:val="00BA0B7D"/>
    <w:rsid w:val="00BB07E2"/>
    <w:rsid w:val="00BB56AF"/>
    <w:rsid w:val="00BB5742"/>
    <w:rsid w:val="00BB5928"/>
    <w:rsid w:val="00C70A51"/>
    <w:rsid w:val="00C73DF4"/>
    <w:rsid w:val="00CA7B58"/>
    <w:rsid w:val="00CB3E22"/>
    <w:rsid w:val="00CD56B8"/>
    <w:rsid w:val="00D81831"/>
    <w:rsid w:val="00DC0B5D"/>
    <w:rsid w:val="00DE0BFB"/>
    <w:rsid w:val="00DF2CE3"/>
    <w:rsid w:val="00E146D0"/>
    <w:rsid w:val="00E37B92"/>
    <w:rsid w:val="00E65B25"/>
    <w:rsid w:val="00E94993"/>
    <w:rsid w:val="00E96582"/>
    <w:rsid w:val="00EA65AF"/>
    <w:rsid w:val="00EC10BA"/>
    <w:rsid w:val="00ED1DA5"/>
    <w:rsid w:val="00ED3397"/>
    <w:rsid w:val="00EF64F2"/>
    <w:rsid w:val="00F41647"/>
    <w:rsid w:val="00F4645F"/>
    <w:rsid w:val="00F60107"/>
    <w:rsid w:val="00F71567"/>
    <w:rsid w:val="00FF7E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59F92C-C928-44C8-8249-7C21A4139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F64F2"/>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ED3397"/>
    <w:pPr>
      <w:jc w:val="both"/>
    </w:pPr>
  </w:style>
  <w:style w:type="character" w:customStyle="1" w:styleId="PagrindinistekstasDiagrama">
    <w:name w:val="Pagrindinis tekstas Diagrama"/>
    <w:basedOn w:val="Numatytasispastraiposriftas"/>
    <w:link w:val="Pagrindinistekstas"/>
    <w:rsid w:val="00ED3397"/>
    <w:rPr>
      <w:sz w:val="24"/>
      <w:lang w:val="lt-LT"/>
    </w:rPr>
  </w:style>
  <w:style w:type="table" w:styleId="Lentelstinklelis">
    <w:name w:val="Table Grid"/>
    <w:basedOn w:val="prastojilentel"/>
    <w:rsid w:val="00163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ostruktra">
    <w:name w:val="Document Map"/>
    <w:basedOn w:val="prastasis"/>
    <w:link w:val="DokumentostruktraDiagrama"/>
    <w:rsid w:val="00163473"/>
    <w:rPr>
      <w:rFonts w:ascii="Tahoma" w:hAnsi="Tahoma" w:cs="Tahoma"/>
      <w:sz w:val="16"/>
      <w:szCs w:val="16"/>
    </w:rPr>
  </w:style>
  <w:style w:type="character" w:customStyle="1" w:styleId="DokumentostruktraDiagrama">
    <w:name w:val="Dokumento struktūra Diagrama"/>
    <w:basedOn w:val="Numatytasispastraiposriftas"/>
    <w:link w:val="Dokumentostruktra"/>
    <w:rsid w:val="00163473"/>
    <w:rPr>
      <w:rFonts w:ascii="Tahoma" w:hAnsi="Tahoma" w:cs="Tahoma"/>
      <w:sz w:val="16"/>
      <w:szCs w:val="16"/>
      <w:lang w:val="lt-LT"/>
    </w:rPr>
  </w:style>
  <w:style w:type="paragraph" w:styleId="Antrats">
    <w:name w:val="header"/>
    <w:basedOn w:val="prastasis"/>
    <w:link w:val="AntratsDiagrama"/>
    <w:uiPriority w:val="99"/>
    <w:rsid w:val="00F41647"/>
    <w:pPr>
      <w:tabs>
        <w:tab w:val="center" w:pos="4986"/>
        <w:tab w:val="right" w:pos="9972"/>
      </w:tabs>
    </w:pPr>
  </w:style>
  <w:style w:type="character" w:customStyle="1" w:styleId="AntratsDiagrama">
    <w:name w:val="Antraštės Diagrama"/>
    <w:basedOn w:val="Numatytasispastraiposriftas"/>
    <w:link w:val="Antrats"/>
    <w:uiPriority w:val="99"/>
    <w:rsid w:val="00F41647"/>
    <w:rPr>
      <w:lang w:val="lt-LT"/>
    </w:rPr>
  </w:style>
  <w:style w:type="paragraph" w:styleId="Porat">
    <w:name w:val="footer"/>
    <w:basedOn w:val="prastasis"/>
    <w:link w:val="PoratDiagrama"/>
    <w:rsid w:val="00F41647"/>
    <w:pPr>
      <w:tabs>
        <w:tab w:val="center" w:pos="4986"/>
        <w:tab w:val="right" w:pos="9972"/>
      </w:tabs>
    </w:pPr>
  </w:style>
  <w:style w:type="character" w:customStyle="1" w:styleId="PoratDiagrama">
    <w:name w:val="Poraštė Diagrama"/>
    <w:basedOn w:val="Numatytasispastraiposriftas"/>
    <w:link w:val="Porat"/>
    <w:rsid w:val="00F41647"/>
    <w:rPr>
      <w:lang w:val="lt-LT"/>
    </w:rPr>
  </w:style>
  <w:style w:type="paragraph" w:styleId="Debesliotekstas">
    <w:name w:val="Balloon Text"/>
    <w:basedOn w:val="prastasis"/>
    <w:link w:val="DebesliotekstasDiagrama"/>
    <w:rsid w:val="00F41647"/>
    <w:rPr>
      <w:rFonts w:ascii="Tahoma" w:hAnsi="Tahoma" w:cs="Tahoma"/>
      <w:sz w:val="16"/>
      <w:szCs w:val="16"/>
    </w:rPr>
  </w:style>
  <w:style w:type="character" w:customStyle="1" w:styleId="DebesliotekstasDiagrama">
    <w:name w:val="Debesėlio tekstas Diagrama"/>
    <w:basedOn w:val="Numatytasispastraiposriftas"/>
    <w:link w:val="Debesliotekstas"/>
    <w:rsid w:val="00F41647"/>
    <w:rPr>
      <w:rFonts w:ascii="Tahoma" w:hAnsi="Tahoma" w:cs="Tahoma"/>
      <w:sz w:val="16"/>
      <w:szCs w:val="16"/>
      <w:lang w:val="lt-LT"/>
    </w:rPr>
  </w:style>
  <w:style w:type="character" w:styleId="Hipersaitas">
    <w:name w:val="Hyperlink"/>
    <w:basedOn w:val="Numatytasispastraiposriftas"/>
    <w:rsid w:val="00F41647"/>
    <w:rPr>
      <w:color w:val="0000FF"/>
      <w:u w:val="single"/>
    </w:rPr>
  </w:style>
  <w:style w:type="character" w:customStyle="1" w:styleId="bigentry1">
    <w:name w:val="bigentry1"/>
    <w:basedOn w:val="Numatytasispastraiposriftas"/>
    <w:rsid w:val="00C73DF4"/>
  </w:style>
  <w:style w:type="paragraph" w:styleId="prastasiniatinklio">
    <w:name w:val="Normal (Web)"/>
    <w:basedOn w:val="prastasis"/>
    <w:rsid w:val="006E626E"/>
    <w:rPr>
      <w:szCs w:val="24"/>
    </w:rPr>
  </w:style>
  <w:style w:type="character" w:customStyle="1" w:styleId="Heading1Char">
    <w:name w:val="Heading 1 Char"/>
    <w:aliases w:val="H1 Char,H11 Char,H12 Char,H13 Char,H14 Char,H111 Char,H121 Char,H15 Char,H112 Char,H122 Char,H16 Char,H113 Char,H123 Char,H17 Char,H114 Char,H124 Char,H18 Char,H115 Char,H125 Char,H19 Char,H110 Char,H116 Char,H126 Char,H117 Char,H127 Char"/>
    <w:uiPriority w:val="9"/>
    <w:rsid w:val="00904DE2"/>
    <w:rPr>
      <w:rFonts w:ascii="Cambria" w:eastAsia="Times New Roman" w:hAnsi="Cambria" w:cs="Times New Roman"/>
      <w:b/>
      <w:bCs/>
      <w:kern w:val="32"/>
      <w:sz w:val="32"/>
      <w:szCs w:val="32"/>
      <w:lang w:eastAsia="en-US"/>
    </w:rPr>
  </w:style>
  <w:style w:type="paragraph" w:customStyle="1" w:styleId="bodytext">
    <w:name w:val="bodytext"/>
    <w:basedOn w:val="prastasis"/>
    <w:uiPriority w:val="99"/>
    <w:rsid w:val="00904DE2"/>
    <w:pPr>
      <w:autoSpaceDE w:val="0"/>
      <w:autoSpaceDN w:val="0"/>
      <w:ind w:firstLine="312"/>
      <w:jc w:val="both"/>
    </w:pPr>
    <w:rPr>
      <w:rFonts w:ascii="TimesLT" w:hAnsi="TimesLT"/>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64354">
      <w:bodyDiv w:val="1"/>
      <w:marLeft w:val="0"/>
      <w:marRight w:val="0"/>
      <w:marTop w:val="0"/>
      <w:marBottom w:val="0"/>
      <w:divBdr>
        <w:top w:val="none" w:sz="0" w:space="0" w:color="auto"/>
        <w:left w:val="none" w:sz="0" w:space="0" w:color="auto"/>
        <w:bottom w:val="none" w:sz="0" w:space="0" w:color="auto"/>
        <w:right w:val="none" w:sz="0" w:space="0" w:color="auto"/>
      </w:divBdr>
    </w:div>
    <w:div w:id="116674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3475</Words>
  <Characters>1981</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&lt;Data&gt;  Nr</vt:lpstr>
      <vt:lpstr>&lt;Data&gt;  Nr</vt:lpstr>
    </vt:vector>
  </TitlesOfParts>
  <Company>SINTAGMA</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&lt;Data&gt;  Nr</dc:title>
  <dc:creator>-</dc:creator>
  <cp:lastModifiedBy>Gitana Marciene</cp:lastModifiedBy>
  <cp:revision>2</cp:revision>
  <dcterms:created xsi:type="dcterms:W3CDTF">2017-03-27T14:19:00Z</dcterms:created>
  <dcterms:modified xsi:type="dcterms:W3CDTF">2017-03-27T14:19:00Z</dcterms:modified>
</cp:coreProperties>
</file>