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61F" w:rsidRPr="009D1FBE" w:rsidRDefault="003B461F" w:rsidP="003B461F">
      <w:pPr>
        <w:jc w:val="center"/>
        <w:rPr>
          <w:b/>
          <w:bCs/>
          <w:color w:val="1F497D"/>
          <w:sz w:val="28"/>
          <w:szCs w:val="28"/>
        </w:rPr>
      </w:pPr>
      <w:bookmarkStart w:id="0" w:name="Bendrosios_salygos"/>
      <w:bookmarkStart w:id="1" w:name="_GoBack"/>
      <w:bookmarkEnd w:id="1"/>
      <w:r w:rsidRPr="009D1FBE">
        <w:rPr>
          <w:b/>
          <w:bCs/>
          <w:sz w:val="28"/>
          <w:szCs w:val="28"/>
        </w:rPr>
        <w:t>Bendrosios sutarties sąlygos</w:t>
      </w:r>
      <w:bookmarkEnd w:id="0"/>
    </w:p>
    <w:p w:rsidR="003B461F" w:rsidRPr="009D1FBE" w:rsidRDefault="003B461F" w:rsidP="003B461F">
      <w:pPr>
        <w:ind w:firstLine="720"/>
        <w:rPr>
          <w:bCs/>
          <w:sz w:val="22"/>
          <w:szCs w:val="22"/>
        </w:rPr>
      </w:pPr>
    </w:p>
    <w:p w:rsidR="003B461F" w:rsidRPr="009D1FBE" w:rsidRDefault="003B461F" w:rsidP="003B461F">
      <w:pPr>
        <w:rPr>
          <w:sz w:val="22"/>
          <w:szCs w:val="22"/>
        </w:rPr>
      </w:pPr>
    </w:p>
    <w:p w:rsidR="003B461F" w:rsidRPr="009D1FBE" w:rsidRDefault="003B461F" w:rsidP="003B461F">
      <w:pPr>
        <w:jc w:val="both"/>
        <w:rPr>
          <w:sz w:val="22"/>
          <w:szCs w:val="22"/>
        </w:rPr>
      </w:pPr>
      <w:r w:rsidRPr="009D1FBE">
        <w:rPr>
          <w:sz w:val="22"/>
          <w:szCs w:val="22"/>
        </w:rPr>
        <w:t xml:space="preserve">Rangos sutarties </w:t>
      </w:r>
      <w:r w:rsidRPr="009D1FBE">
        <w:rPr>
          <w:i/>
          <w:color w:val="1F497D"/>
          <w:sz w:val="22"/>
          <w:szCs w:val="22"/>
        </w:rPr>
        <w:t>„</w:t>
      </w:r>
      <w:r w:rsidRPr="009D1FBE">
        <w:rPr>
          <w:bCs/>
          <w:sz w:val="22"/>
          <w:szCs w:val="22"/>
        </w:rPr>
        <w:t>Kalvarijos miesto vandens gerinimo įrenginių statyba</w:t>
      </w:r>
      <w:r w:rsidRPr="009D1FBE">
        <w:rPr>
          <w:sz w:val="22"/>
          <w:szCs w:val="22"/>
        </w:rPr>
        <w:t xml:space="preserve">“ Bendrosios sutarties sąlygos yra: </w:t>
      </w:r>
    </w:p>
    <w:p w:rsidR="003B461F" w:rsidRPr="009D1FBE" w:rsidRDefault="003B461F" w:rsidP="003B461F">
      <w:pPr>
        <w:tabs>
          <w:tab w:val="right" w:pos="9936"/>
        </w:tabs>
        <w:jc w:val="both"/>
        <w:rPr>
          <w:rStyle w:val="FontStyle23"/>
          <w:rFonts w:eastAsia="Calibri"/>
          <w:sz w:val="22"/>
          <w:szCs w:val="22"/>
          <w:highlight w:val="yellow"/>
          <w:lang w:eastAsia="lt-LT"/>
        </w:rPr>
      </w:pPr>
    </w:p>
    <w:p w:rsidR="003B461F" w:rsidRPr="009D1FBE" w:rsidRDefault="003B461F" w:rsidP="003B461F">
      <w:pPr>
        <w:pBdr>
          <w:top w:val="single" w:sz="4" w:space="1" w:color="auto"/>
          <w:left w:val="single" w:sz="4" w:space="27" w:color="auto"/>
          <w:bottom w:val="single" w:sz="4" w:space="1" w:color="auto"/>
          <w:right w:val="single" w:sz="4" w:space="4" w:color="auto"/>
        </w:pBdr>
        <w:tabs>
          <w:tab w:val="right" w:pos="9936"/>
        </w:tabs>
        <w:ind w:left="851" w:right="703"/>
        <w:jc w:val="center"/>
        <w:rPr>
          <w:rStyle w:val="FontStyle23"/>
          <w:sz w:val="28"/>
          <w:szCs w:val="28"/>
          <w:lang w:eastAsia="fr-FR"/>
        </w:rPr>
      </w:pPr>
      <w:proofErr w:type="spellStart"/>
      <w:r w:rsidRPr="009D1FBE">
        <w:rPr>
          <w:rStyle w:val="FontStyle18"/>
          <w:sz w:val="28"/>
          <w:szCs w:val="28"/>
          <w:lang w:eastAsia="lt-LT"/>
        </w:rPr>
        <w:t>Fédération</w:t>
      </w:r>
      <w:proofErr w:type="spellEnd"/>
      <w:r w:rsidRPr="009D1FBE">
        <w:rPr>
          <w:rStyle w:val="FontStyle18"/>
          <w:sz w:val="28"/>
          <w:szCs w:val="28"/>
          <w:lang w:eastAsia="lt-LT"/>
        </w:rPr>
        <w:t xml:space="preserve"> </w:t>
      </w:r>
      <w:proofErr w:type="spellStart"/>
      <w:r w:rsidRPr="009D1FBE">
        <w:rPr>
          <w:rStyle w:val="FontStyle18"/>
          <w:sz w:val="28"/>
          <w:szCs w:val="28"/>
          <w:lang w:eastAsia="lt-LT"/>
        </w:rPr>
        <w:t>Internationale</w:t>
      </w:r>
      <w:proofErr w:type="spellEnd"/>
      <w:r w:rsidRPr="009D1FBE">
        <w:rPr>
          <w:rStyle w:val="FontStyle18"/>
          <w:sz w:val="28"/>
          <w:szCs w:val="28"/>
          <w:lang w:eastAsia="lt-LT"/>
        </w:rPr>
        <w:t xml:space="preserve"> </w:t>
      </w:r>
      <w:proofErr w:type="spellStart"/>
      <w:r w:rsidRPr="009D1FBE">
        <w:rPr>
          <w:rStyle w:val="FontStyle18"/>
          <w:sz w:val="28"/>
          <w:szCs w:val="28"/>
          <w:lang w:eastAsia="lt-LT"/>
        </w:rPr>
        <w:t>des</w:t>
      </w:r>
      <w:proofErr w:type="spellEnd"/>
      <w:r w:rsidRPr="009D1FBE">
        <w:rPr>
          <w:rStyle w:val="FontStyle18"/>
          <w:sz w:val="28"/>
          <w:szCs w:val="28"/>
        </w:rPr>
        <w:t xml:space="preserve"> </w:t>
      </w:r>
      <w:proofErr w:type="spellStart"/>
      <w:r w:rsidRPr="009D1FBE">
        <w:rPr>
          <w:rStyle w:val="FontStyle18"/>
          <w:sz w:val="28"/>
          <w:szCs w:val="28"/>
          <w:lang w:eastAsia="fr-FR"/>
        </w:rPr>
        <w:t>Ingénieurs-Conseils</w:t>
      </w:r>
      <w:proofErr w:type="spellEnd"/>
      <w:r w:rsidRPr="009D1FBE">
        <w:rPr>
          <w:rStyle w:val="FontStyle18"/>
          <w:sz w:val="28"/>
          <w:szCs w:val="28"/>
          <w:lang w:eastAsia="fr-FR"/>
        </w:rPr>
        <w:t xml:space="preserve"> </w:t>
      </w:r>
      <w:r w:rsidRPr="009D1FBE">
        <w:rPr>
          <w:rStyle w:val="FontStyle23"/>
          <w:sz w:val="28"/>
          <w:szCs w:val="28"/>
          <w:lang w:eastAsia="fr-FR"/>
        </w:rPr>
        <w:t>(FIDIC)</w:t>
      </w:r>
    </w:p>
    <w:p w:rsidR="003B461F" w:rsidRPr="009D1FBE" w:rsidRDefault="003B461F" w:rsidP="003B461F">
      <w:pPr>
        <w:pBdr>
          <w:top w:val="single" w:sz="4" w:space="1" w:color="auto"/>
          <w:left w:val="single" w:sz="4" w:space="27" w:color="auto"/>
          <w:bottom w:val="single" w:sz="4" w:space="1" w:color="auto"/>
          <w:right w:val="single" w:sz="4" w:space="4" w:color="auto"/>
        </w:pBdr>
        <w:tabs>
          <w:tab w:val="right" w:pos="9936"/>
        </w:tabs>
        <w:ind w:left="851" w:right="703"/>
        <w:jc w:val="center"/>
        <w:rPr>
          <w:rStyle w:val="FontStyle23"/>
          <w:sz w:val="28"/>
          <w:szCs w:val="28"/>
          <w:lang w:eastAsia="fr-FR"/>
        </w:rPr>
      </w:pPr>
    </w:p>
    <w:p w:rsidR="003B461F" w:rsidRPr="009D1FBE" w:rsidRDefault="003B461F" w:rsidP="003B461F">
      <w:pPr>
        <w:pBdr>
          <w:top w:val="single" w:sz="4" w:space="1" w:color="auto"/>
          <w:left w:val="single" w:sz="4" w:space="27" w:color="auto"/>
          <w:bottom w:val="single" w:sz="4" w:space="1" w:color="auto"/>
          <w:right w:val="single" w:sz="4" w:space="4" w:color="auto"/>
        </w:pBdr>
        <w:tabs>
          <w:tab w:val="right" w:pos="9936"/>
        </w:tabs>
        <w:ind w:left="851" w:right="703"/>
        <w:jc w:val="center"/>
        <w:rPr>
          <w:sz w:val="28"/>
          <w:szCs w:val="28"/>
          <w:lang w:eastAsia="en-US"/>
        </w:rPr>
      </w:pPr>
      <w:r w:rsidRPr="009D1FBE">
        <w:rPr>
          <w:sz w:val="28"/>
          <w:szCs w:val="28"/>
        </w:rPr>
        <w:t xml:space="preserve">Rangovo projektuojamų statybos ir inžinerinių darbų, elektros ir mechanikos įrenginių </w:t>
      </w:r>
    </w:p>
    <w:p w:rsidR="003B461F" w:rsidRPr="009D1FBE" w:rsidRDefault="003B461F" w:rsidP="003B461F">
      <w:pPr>
        <w:pBdr>
          <w:top w:val="single" w:sz="4" w:space="1" w:color="auto"/>
          <w:left w:val="single" w:sz="4" w:space="27" w:color="auto"/>
          <w:bottom w:val="single" w:sz="4" w:space="1" w:color="auto"/>
          <w:right w:val="single" w:sz="4" w:space="4" w:color="auto"/>
        </w:pBdr>
        <w:tabs>
          <w:tab w:val="right" w:pos="9936"/>
        </w:tabs>
        <w:ind w:left="851" w:right="703"/>
        <w:jc w:val="center"/>
        <w:rPr>
          <w:b/>
          <w:bCs/>
          <w:sz w:val="28"/>
          <w:szCs w:val="28"/>
        </w:rPr>
      </w:pPr>
      <w:r w:rsidRPr="009D1FBE">
        <w:rPr>
          <w:b/>
          <w:bCs/>
          <w:sz w:val="28"/>
          <w:szCs w:val="28"/>
        </w:rPr>
        <w:t>Projektavimo ir statybos bei įrangos sutarties sąlygos</w:t>
      </w:r>
    </w:p>
    <w:p w:rsidR="003B461F" w:rsidRPr="009D1FBE" w:rsidRDefault="003B461F" w:rsidP="003B461F">
      <w:pPr>
        <w:pBdr>
          <w:top w:val="single" w:sz="4" w:space="1" w:color="auto"/>
          <w:left w:val="single" w:sz="4" w:space="27" w:color="auto"/>
          <w:bottom w:val="single" w:sz="4" w:space="1" w:color="auto"/>
          <w:right w:val="single" w:sz="4" w:space="4" w:color="auto"/>
        </w:pBdr>
        <w:tabs>
          <w:tab w:val="left" w:pos="7515"/>
          <w:tab w:val="left" w:leader="dot" w:pos="9540"/>
          <w:tab w:val="right" w:pos="9936"/>
        </w:tabs>
        <w:ind w:left="851" w:right="703"/>
        <w:jc w:val="center"/>
        <w:rPr>
          <w:sz w:val="28"/>
          <w:szCs w:val="28"/>
        </w:rPr>
      </w:pPr>
      <w:r w:rsidRPr="009D1FBE">
        <w:rPr>
          <w:sz w:val="28"/>
          <w:szCs w:val="28"/>
        </w:rPr>
        <w:t>FIDIC „Geltonoji“ knyga,</w:t>
      </w:r>
    </w:p>
    <w:p w:rsidR="003B461F" w:rsidRPr="009D1FBE" w:rsidRDefault="003B461F" w:rsidP="003B461F">
      <w:pPr>
        <w:pBdr>
          <w:top w:val="single" w:sz="4" w:space="1" w:color="auto"/>
          <w:left w:val="single" w:sz="4" w:space="27" w:color="auto"/>
          <w:bottom w:val="single" w:sz="4" w:space="1" w:color="auto"/>
          <w:right w:val="single" w:sz="4" w:space="4" w:color="auto"/>
        </w:pBdr>
        <w:tabs>
          <w:tab w:val="left" w:pos="7515"/>
          <w:tab w:val="left" w:leader="dot" w:pos="9540"/>
          <w:tab w:val="right" w:pos="9936"/>
        </w:tabs>
        <w:ind w:left="851" w:right="703"/>
        <w:jc w:val="center"/>
        <w:rPr>
          <w:b/>
          <w:sz w:val="28"/>
          <w:szCs w:val="28"/>
        </w:rPr>
      </w:pPr>
    </w:p>
    <w:p w:rsidR="003B461F" w:rsidRPr="009D1FBE" w:rsidRDefault="003B461F" w:rsidP="003B461F">
      <w:pPr>
        <w:pBdr>
          <w:top w:val="single" w:sz="4" w:space="1" w:color="auto"/>
          <w:left w:val="single" w:sz="4" w:space="27" w:color="auto"/>
          <w:bottom w:val="single" w:sz="4" w:space="1" w:color="auto"/>
          <w:right w:val="single" w:sz="4" w:space="4" w:color="auto"/>
        </w:pBdr>
        <w:tabs>
          <w:tab w:val="left" w:pos="7515"/>
          <w:tab w:val="left" w:leader="dot" w:pos="9540"/>
          <w:tab w:val="right" w:pos="9936"/>
        </w:tabs>
        <w:ind w:left="851" w:right="703"/>
        <w:jc w:val="center"/>
        <w:rPr>
          <w:sz w:val="24"/>
          <w:szCs w:val="24"/>
        </w:rPr>
      </w:pPr>
      <w:r w:rsidRPr="009D1FBE">
        <w:rPr>
          <w:rStyle w:val="FontStyle23"/>
          <w:sz w:val="24"/>
          <w:szCs w:val="24"/>
          <w:lang w:eastAsia="fr-FR"/>
        </w:rPr>
        <w:t>(išleistos pirmuoju leidimu 1999 metais anglų kalba ir antruoju vertimu į lietuvių kalbą 2007 metais leidimu, ISBN 978-9986- 687-17-7)</w:t>
      </w:r>
    </w:p>
    <w:p w:rsidR="003B461F" w:rsidRPr="009D1FBE" w:rsidRDefault="003B461F" w:rsidP="003B461F">
      <w:pPr>
        <w:tabs>
          <w:tab w:val="right" w:pos="9936"/>
        </w:tabs>
        <w:spacing w:before="120" w:after="120"/>
        <w:jc w:val="both"/>
        <w:rPr>
          <w:b/>
          <w:sz w:val="22"/>
          <w:szCs w:val="22"/>
        </w:rPr>
      </w:pPr>
    </w:p>
    <w:p w:rsidR="003B461F" w:rsidRPr="009D1FBE" w:rsidRDefault="003B461F" w:rsidP="003B461F">
      <w:pPr>
        <w:tabs>
          <w:tab w:val="right" w:pos="9936"/>
        </w:tabs>
        <w:spacing w:before="120" w:after="120"/>
        <w:jc w:val="both"/>
        <w:rPr>
          <w:b/>
          <w:sz w:val="24"/>
          <w:szCs w:val="24"/>
        </w:rPr>
      </w:pPr>
      <w:r w:rsidRPr="009D1FBE">
        <w:rPr>
          <w:b/>
          <w:sz w:val="24"/>
          <w:szCs w:val="24"/>
        </w:rPr>
        <w:t>Bendrųjų sutarties sąlygų taikymas</w:t>
      </w:r>
    </w:p>
    <w:p w:rsidR="003B461F" w:rsidRPr="009D1FBE" w:rsidRDefault="003B461F" w:rsidP="003B461F">
      <w:pPr>
        <w:numPr>
          <w:ilvl w:val="0"/>
          <w:numId w:val="1"/>
        </w:numPr>
        <w:jc w:val="both"/>
        <w:rPr>
          <w:sz w:val="24"/>
          <w:szCs w:val="24"/>
        </w:rPr>
      </w:pPr>
      <w:r w:rsidRPr="009D1FBE">
        <w:rPr>
          <w:sz w:val="24"/>
          <w:szCs w:val="24"/>
        </w:rPr>
        <w:t>Bendrosios FIDIC sutarties sąlygos taikomos sutinkamai su STR 1.08.02:2002 „Statybos darbai“ (</w:t>
      </w:r>
      <w:proofErr w:type="spellStart"/>
      <w:r w:rsidRPr="009D1FBE">
        <w:rPr>
          <w:sz w:val="24"/>
          <w:szCs w:val="24"/>
        </w:rPr>
        <w:t>Žin</w:t>
      </w:r>
      <w:proofErr w:type="spellEnd"/>
      <w:r w:rsidRPr="009D1FBE">
        <w:rPr>
          <w:sz w:val="24"/>
          <w:szCs w:val="24"/>
        </w:rPr>
        <w:t>., 2002, Nr. 54-2150, Nr. 91-3907) 14 punkto nuostatomis.</w:t>
      </w:r>
    </w:p>
    <w:p w:rsidR="003B461F" w:rsidRPr="009D1FBE" w:rsidRDefault="003B461F" w:rsidP="003B461F">
      <w:pPr>
        <w:numPr>
          <w:ilvl w:val="0"/>
          <w:numId w:val="1"/>
        </w:numPr>
        <w:jc w:val="both"/>
        <w:rPr>
          <w:sz w:val="24"/>
          <w:szCs w:val="24"/>
        </w:rPr>
      </w:pPr>
      <w:r w:rsidRPr="009D1FBE">
        <w:rPr>
          <w:sz w:val="24"/>
          <w:szCs w:val="24"/>
        </w:rPr>
        <w:t>Esant kokiems nors prieštaravimams ar neatitikimams tarp atitinkamų Bendrųjų sutarties sąlygų ir Konkrečių sutarties sąlygų straipsnių, viršenybę turi Konkrečios sutarties sąlygos. Straipsnių nuostatos, nepakeistos Konkrečiose sutarties sąlygose, galioja tokios redakcijos, kokia jos yra pateiktos Bendrosiose sutarties sąlygose.</w:t>
      </w:r>
    </w:p>
    <w:p w:rsidR="003B461F" w:rsidRPr="009D1FBE" w:rsidRDefault="003B461F" w:rsidP="003B461F">
      <w:pPr>
        <w:numPr>
          <w:ilvl w:val="0"/>
          <w:numId w:val="1"/>
        </w:numPr>
        <w:jc w:val="both"/>
        <w:rPr>
          <w:sz w:val="24"/>
          <w:szCs w:val="24"/>
        </w:rPr>
      </w:pPr>
      <w:r w:rsidRPr="009D1FBE">
        <w:rPr>
          <w:sz w:val="24"/>
          <w:szCs w:val="24"/>
        </w:rPr>
        <w:t>Bendrosios sutarties sąlygos nėra pridedamos prie šių pirkimo dokumentų/ sutarties dokumentų.</w:t>
      </w:r>
      <w:r w:rsidRPr="009D1FBE">
        <w:rPr>
          <w:b/>
          <w:sz w:val="24"/>
          <w:szCs w:val="24"/>
        </w:rPr>
        <w:t xml:space="preserve"> </w:t>
      </w:r>
      <w:r w:rsidRPr="009D1FBE">
        <w:rPr>
          <w:sz w:val="24"/>
          <w:szCs w:val="24"/>
        </w:rPr>
        <w:t>Konkurso dalyvis/ Rangovas gali jas įsigyti iš leidėjų</w:t>
      </w:r>
      <w:r w:rsidRPr="009D1FBE">
        <w:rPr>
          <w:sz w:val="24"/>
          <w:szCs w:val="24"/>
          <w:vertAlign w:val="superscript"/>
        </w:rPr>
        <w:footnoteReference w:id="1"/>
      </w:r>
      <w:r w:rsidRPr="009D1FBE">
        <w:rPr>
          <w:sz w:val="24"/>
          <w:szCs w:val="24"/>
        </w:rPr>
        <w:t xml:space="preserve">. </w:t>
      </w:r>
    </w:p>
    <w:p w:rsidR="00F62E63" w:rsidRDefault="003B461F" w:rsidP="003B461F">
      <w:r>
        <w:rPr>
          <w:rFonts w:eastAsia="Calibri"/>
          <w:noProof/>
          <w:sz w:val="22"/>
          <w:szCs w:val="22"/>
          <w:lang w:val="en-US" w:eastAsia="en-US"/>
        </w:rPr>
        <w:drawing>
          <wp:anchor distT="0" distB="0" distL="114300" distR="114300" simplePos="0" relativeHeight="251659264" behindDoc="0" locked="0" layoutInCell="1" allowOverlap="1" wp14:anchorId="7C6B1752" wp14:editId="336A92DC">
            <wp:simplePos x="0" y="0"/>
            <wp:positionH relativeFrom="column">
              <wp:posOffset>57150</wp:posOffset>
            </wp:positionH>
            <wp:positionV relativeFrom="paragraph">
              <wp:posOffset>349885</wp:posOffset>
            </wp:positionV>
            <wp:extent cx="1447800" cy="2024476"/>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384" cy="2023894"/>
                    </a:xfrm>
                    <a:prstGeom prst="rect">
                      <a:avLst/>
                    </a:prstGeom>
                    <a:noFill/>
                  </pic:spPr>
                </pic:pic>
              </a:graphicData>
            </a:graphic>
            <wp14:sizeRelH relativeFrom="page">
              <wp14:pctWidth>0</wp14:pctWidth>
            </wp14:sizeRelH>
            <wp14:sizeRelV relativeFrom="page">
              <wp14:pctHeight>0</wp14:pctHeight>
            </wp14:sizeRelV>
          </wp:anchor>
        </w:drawing>
      </w:r>
    </w:p>
    <w:sectPr w:rsidR="00F62E6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0CA" w:rsidRDefault="003470CA" w:rsidP="003B461F">
      <w:r>
        <w:separator/>
      </w:r>
    </w:p>
  </w:endnote>
  <w:endnote w:type="continuationSeparator" w:id="0">
    <w:p w:rsidR="003470CA" w:rsidRDefault="003470CA" w:rsidP="003B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0CA" w:rsidRDefault="003470CA" w:rsidP="003B461F">
      <w:r>
        <w:separator/>
      </w:r>
    </w:p>
  </w:footnote>
  <w:footnote w:type="continuationSeparator" w:id="0">
    <w:p w:rsidR="003470CA" w:rsidRDefault="003470CA" w:rsidP="003B461F">
      <w:r>
        <w:continuationSeparator/>
      </w:r>
    </w:p>
  </w:footnote>
  <w:footnote w:id="1">
    <w:p w:rsidR="003B461F" w:rsidRDefault="003B461F" w:rsidP="003B461F">
      <w:pPr>
        <w:pStyle w:val="text-3mezera"/>
        <w:ind w:left="1134" w:right="429"/>
        <w:rPr>
          <w:rFonts w:ascii="Times New Roman" w:hAnsi="Times New Roman"/>
          <w:sz w:val="20"/>
        </w:rPr>
      </w:pPr>
      <w:r>
        <w:rPr>
          <w:rStyle w:val="FootnoteReference"/>
        </w:rPr>
        <w:footnoteRef/>
      </w:r>
      <w:r>
        <w:rPr>
          <w:rFonts w:ascii="Times New Roman" w:hAnsi="Times New Roman"/>
          <w:sz w:val="20"/>
        </w:rPr>
        <w:t xml:space="preserve"> Leidinius galima įsigyti: Lietuvių kalba ir anglų kalba - UAB „Sweco Lietuva“ (Gerulaičio g. 1 (II aukštas), LT - 0</w:t>
      </w:r>
      <w:r>
        <w:rPr>
          <w:rFonts w:ascii="Times New Roman" w:hAnsi="Times New Roman"/>
          <w:sz w:val="20"/>
          <w:lang w:val="lt-LT"/>
        </w:rPr>
        <w:t>8200</w:t>
      </w:r>
      <w:r>
        <w:rPr>
          <w:rFonts w:ascii="Times New Roman" w:hAnsi="Times New Roman"/>
          <w:sz w:val="20"/>
        </w:rPr>
        <w:t xml:space="preserve"> Vilnius) </w:t>
      </w:r>
      <w:hyperlink r:id="rId1" w:history="1">
        <w:r>
          <w:rPr>
            <w:rStyle w:val="Hyperlink"/>
            <w:rFonts w:ascii="Times New Roman" w:hAnsi="Times New Roman"/>
            <w:sz w:val="20"/>
          </w:rPr>
          <w:t>http://www.sweco.lt/lt/Lithuania/Apie-Sweco/Leidyba/</w:t>
        </w:r>
      </w:hyperlink>
      <w:r>
        <w:rPr>
          <w:rFonts w:ascii="Times New Roman" w:hAnsi="Times New Roman"/>
          <w:sz w:val="20"/>
        </w:rPr>
        <w:t xml:space="preserve"> arba anglų kalba – FIDIC sekretoriatas Šveicarijoje P. O. Box 311, CH-1215 Geneva 15, Switzerland, Fax: 41 (22) 799 4901, </w:t>
      </w:r>
      <w:hyperlink r:id="rId2" w:history="1">
        <w:r>
          <w:rPr>
            <w:rStyle w:val="Hyperlink"/>
            <w:rFonts w:ascii="Times New Roman" w:hAnsi="Times New Roman"/>
            <w:sz w:val="20"/>
          </w:rPr>
          <w:t>http://fidic.org/bookshop/</w:t>
        </w:r>
      </w:hyperlink>
      <w:r>
        <w:rPr>
          <w:rFonts w:ascii="Times New Roman" w:hAnsi="Times New Roman"/>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1C0E"/>
    <w:multiLevelType w:val="hybridMultilevel"/>
    <w:tmpl w:val="5DFAAB6A"/>
    <w:lvl w:ilvl="0" w:tplc="EA7ADA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1F"/>
    <w:rsid w:val="003470CA"/>
    <w:rsid w:val="003B461F"/>
    <w:rsid w:val="00F62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1F"/>
    <w:pPr>
      <w:spacing w:after="0" w:line="240" w:lineRule="auto"/>
    </w:pPr>
    <w:rPr>
      <w:rFonts w:ascii="Times New Roman" w:eastAsia="Times New Roman" w:hAnsi="Times New Roman" w:cs="Times New Roman"/>
      <w:sz w:val="20"/>
      <w:szCs w:val="20"/>
      <w:lang w:val="lt-LT"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3mezera">
    <w:name w:val="text - 3 mezera"/>
    <w:basedOn w:val="Normal"/>
    <w:rsid w:val="003B461F"/>
    <w:pPr>
      <w:widowControl w:val="0"/>
      <w:spacing w:before="60" w:line="240" w:lineRule="exact"/>
      <w:jc w:val="both"/>
    </w:pPr>
    <w:rPr>
      <w:rFonts w:ascii="Arial" w:hAnsi="Arial" w:cs="Arial"/>
      <w:sz w:val="24"/>
      <w:szCs w:val="24"/>
      <w:lang w:val="cs-CZ"/>
    </w:rPr>
  </w:style>
  <w:style w:type="character" w:styleId="Hyperlink">
    <w:name w:val="Hyperlink"/>
    <w:rsid w:val="003B461F"/>
    <w:rPr>
      <w:color w:val="0000FF"/>
      <w:u w:val="single"/>
    </w:rPr>
  </w:style>
  <w:style w:type="character" w:styleId="FootnoteReference">
    <w:name w:val="footnote reference"/>
    <w:semiHidden/>
    <w:rsid w:val="003B461F"/>
    <w:rPr>
      <w:vertAlign w:val="superscript"/>
    </w:rPr>
  </w:style>
  <w:style w:type="character" w:customStyle="1" w:styleId="FontStyle23">
    <w:name w:val="Font Style23"/>
    <w:uiPriority w:val="99"/>
    <w:rsid w:val="003B461F"/>
    <w:rPr>
      <w:rFonts w:ascii="Times New Roman" w:hAnsi="Times New Roman" w:cs="Times New Roman" w:hint="default"/>
      <w:sz w:val="20"/>
      <w:szCs w:val="20"/>
    </w:rPr>
  </w:style>
  <w:style w:type="character" w:customStyle="1" w:styleId="FontStyle18">
    <w:name w:val="Font Style18"/>
    <w:uiPriority w:val="99"/>
    <w:rsid w:val="003B461F"/>
    <w:rPr>
      <w:rFonts w:ascii="Times New Roman" w:hAnsi="Times New Roman" w:cs="Times New Roman" w:hint="default"/>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1F"/>
    <w:pPr>
      <w:spacing w:after="0" w:line="240" w:lineRule="auto"/>
    </w:pPr>
    <w:rPr>
      <w:rFonts w:ascii="Times New Roman" w:eastAsia="Times New Roman" w:hAnsi="Times New Roman" w:cs="Times New Roman"/>
      <w:sz w:val="20"/>
      <w:szCs w:val="20"/>
      <w:lang w:val="lt-LT"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3mezera">
    <w:name w:val="text - 3 mezera"/>
    <w:basedOn w:val="Normal"/>
    <w:rsid w:val="003B461F"/>
    <w:pPr>
      <w:widowControl w:val="0"/>
      <w:spacing w:before="60" w:line="240" w:lineRule="exact"/>
      <w:jc w:val="both"/>
    </w:pPr>
    <w:rPr>
      <w:rFonts w:ascii="Arial" w:hAnsi="Arial" w:cs="Arial"/>
      <w:sz w:val="24"/>
      <w:szCs w:val="24"/>
      <w:lang w:val="cs-CZ"/>
    </w:rPr>
  </w:style>
  <w:style w:type="character" w:styleId="Hyperlink">
    <w:name w:val="Hyperlink"/>
    <w:rsid w:val="003B461F"/>
    <w:rPr>
      <w:color w:val="0000FF"/>
      <w:u w:val="single"/>
    </w:rPr>
  </w:style>
  <w:style w:type="character" w:styleId="FootnoteReference">
    <w:name w:val="footnote reference"/>
    <w:semiHidden/>
    <w:rsid w:val="003B461F"/>
    <w:rPr>
      <w:vertAlign w:val="superscript"/>
    </w:rPr>
  </w:style>
  <w:style w:type="character" w:customStyle="1" w:styleId="FontStyle23">
    <w:name w:val="Font Style23"/>
    <w:uiPriority w:val="99"/>
    <w:rsid w:val="003B461F"/>
    <w:rPr>
      <w:rFonts w:ascii="Times New Roman" w:hAnsi="Times New Roman" w:cs="Times New Roman" w:hint="default"/>
      <w:sz w:val="20"/>
      <w:szCs w:val="20"/>
    </w:rPr>
  </w:style>
  <w:style w:type="character" w:customStyle="1" w:styleId="FontStyle18">
    <w:name w:val="Font Style18"/>
    <w:uiPriority w:val="99"/>
    <w:rsid w:val="003B461F"/>
    <w:rPr>
      <w:rFonts w:ascii="Times New Roman" w:hAnsi="Times New Roman" w:cs="Times New Roman" w:hint="default"/>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fidic.org/bookshop/" TargetMode="External"/><Relationship Id="rId1" Type="http://schemas.openxmlformats.org/officeDocument/2006/relationships/hyperlink" Target="http://www.sweco.lt/lt/Lithuania/Apie-Sweco/Leidy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Dell_PC</dc:creator>
  <cp:lastModifiedBy>Dell_PC</cp:lastModifiedBy>
  <cp:revision>1</cp:revision>
  <dcterms:created xsi:type="dcterms:W3CDTF">2016-08-08T06:41:00Z</dcterms:created>
  <dcterms:modified xsi:type="dcterms:W3CDTF">2016-08-08T06:41:00Z</dcterms:modified>
</cp:coreProperties>
</file>